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79D166C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bookmarkStart w:id="0" w:name="Check9"/>
            <w:r w:rsidRPr="000E6DA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bookmarkStart w:id="1" w:name="Check10"/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7CA50212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43F811A9" w:rsidR="00280D96" w:rsidRPr="000E6DA6" w:rsidRDefault="00280D96" w:rsidP="00280D96">
            <w:pPr>
              <w:widowControl/>
              <w:rPr>
                <w:b/>
                <w:bCs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259F1">
              <w:rPr>
                <w:sz w:val="22"/>
                <w:szCs w:val="22"/>
              </w:rPr>
            </w:r>
            <w:r w:rsidR="007259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03E0E462" w14:textId="77777777" w:rsidR="007259F1" w:rsidRDefault="007259F1" w:rsidP="007259F1">
      <w:pPr>
        <w:widowControl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5523D3C8" w14:textId="5610664F" w:rsidR="007259F1" w:rsidRPr="00F976D9" w:rsidRDefault="007259F1" w:rsidP="007259F1">
      <w:pPr>
        <w:widowControl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F976D9">
        <w:rPr>
          <w:rFonts w:ascii="Times New Roman" w:hAnsi="Times New Roman" w:cs="Times New Roman"/>
          <w:b/>
          <w:i/>
          <w:sz w:val="23"/>
          <w:szCs w:val="23"/>
        </w:rPr>
        <w:t xml:space="preserve">The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aforementioned </w:t>
      </w:r>
      <w:r w:rsidRPr="00F976D9">
        <w:rPr>
          <w:rFonts w:ascii="Times New Roman" w:hAnsi="Times New Roman" w:cs="Times New Roman"/>
          <w:b/>
          <w:i/>
          <w:sz w:val="23"/>
          <w:szCs w:val="23"/>
        </w:rPr>
        <w:t>pop</w:t>
      </w:r>
      <w:bookmarkStart w:id="2" w:name="_GoBack"/>
      <w:bookmarkEnd w:id="2"/>
      <w:r w:rsidRPr="00F976D9">
        <w:rPr>
          <w:rFonts w:ascii="Times New Roman" w:hAnsi="Times New Roman" w:cs="Times New Roman"/>
          <w:b/>
          <w:i/>
          <w:sz w:val="23"/>
          <w:szCs w:val="23"/>
        </w:rPr>
        <w:t>ulations</w:t>
      </w:r>
      <w:r w:rsidRPr="00F976D9">
        <w:rPr>
          <w:rFonts w:ascii="Times New Roman" w:hAnsi="Times New Roman" w:cs="Times New Roman"/>
          <w:b/>
          <w:i/>
          <w:sz w:val="23"/>
          <w:szCs w:val="23"/>
        </w:rPr>
        <w:t xml:space="preserve"> are not applicable to this contract. This contract is for the provision of information and referral and mobile crisis response services to both adult and children. </w:t>
      </w:r>
    </w:p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69E290F5" w:rsidR="00280D96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33DFE723" w14:textId="2FB30547" w:rsidR="007259F1" w:rsidRDefault="007259F1" w:rsidP="005B7599">
      <w:pPr>
        <w:ind w:left="720"/>
        <w:rPr>
          <w:sz w:val="22"/>
          <w:szCs w:val="22"/>
        </w:rPr>
      </w:pPr>
    </w:p>
    <w:p w14:paraId="01DE4D4A" w14:textId="4847B0DA" w:rsidR="007259F1" w:rsidRDefault="007259F1" w:rsidP="005B7599">
      <w:pPr>
        <w:ind w:left="720"/>
        <w:rPr>
          <w:sz w:val="22"/>
          <w:szCs w:val="22"/>
        </w:rPr>
      </w:pPr>
    </w:p>
    <w:p w14:paraId="0158720B" w14:textId="391BC81E" w:rsidR="007259F1" w:rsidRDefault="007259F1" w:rsidP="005B7599">
      <w:pPr>
        <w:ind w:left="720"/>
        <w:rPr>
          <w:sz w:val="22"/>
          <w:szCs w:val="22"/>
        </w:rPr>
      </w:pPr>
    </w:p>
    <w:p w14:paraId="79D9029C" w14:textId="15460C91" w:rsidR="007259F1" w:rsidRDefault="007259F1" w:rsidP="005B7599">
      <w:pPr>
        <w:ind w:left="720"/>
        <w:rPr>
          <w:sz w:val="22"/>
          <w:szCs w:val="22"/>
        </w:rPr>
      </w:pPr>
    </w:p>
    <w:p w14:paraId="3B5CCDC0" w14:textId="724E05A1" w:rsidR="007259F1" w:rsidRDefault="007259F1" w:rsidP="005B7599">
      <w:pPr>
        <w:ind w:left="720"/>
        <w:rPr>
          <w:sz w:val="22"/>
          <w:szCs w:val="22"/>
        </w:rPr>
      </w:pPr>
    </w:p>
    <w:p w14:paraId="363AEB3F" w14:textId="0D5FB02C" w:rsidR="007259F1" w:rsidRDefault="007259F1" w:rsidP="005B7599">
      <w:pPr>
        <w:ind w:left="720"/>
        <w:rPr>
          <w:sz w:val="22"/>
          <w:szCs w:val="22"/>
        </w:rPr>
      </w:pPr>
    </w:p>
    <w:p w14:paraId="2AF64B1F" w14:textId="77777777" w:rsidR="007259F1" w:rsidRPr="005B7599" w:rsidRDefault="007259F1" w:rsidP="005B7599">
      <w:pPr>
        <w:ind w:left="720"/>
        <w:rPr>
          <w:sz w:val="22"/>
          <w:szCs w:val="22"/>
        </w:rPr>
      </w:pP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5185"/>
        <w:gridCol w:w="4041"/>
      </w:tblGrid>
      <w:tr w:rsidR="007259F1" w:rsidRPr="00D431D9" w14:paraId="64D11637" w14:textId="77777777" w:rsidTr="00A93E09">
        <w:trPr>
          <w:trHeight w:val="312"/>
          <w:jc w:val="center"/>
        </w:trPr>
        <w:tc>
          <w:tcPr>
            <w:tcW w:w="5000" w:type="pct"/>
            <w:gridSpan w:val="3"/>
            <w:shd w:val="clear" w:color="auto" w:fill="C6D9F1"/>
            <w:hideMark/>
          </w:tcPr>
          <w:p w14:paraId="33A53AE4" w14:textId="77777777" w:rsidR="007259F1" w:rsidRPr="00D431D9" w:rsidRDefault="007259F1" w:rsidP="00A93E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Mobile Response</w:t>
            </w:r>
            <w:r w:rsidRPr="00D431D9">
              <w:rPr>
                <w:b/>
                <w:bCs/>
                <w:color w:val="000000"/>
                <w:sz w:val="22"/>
                <w:szCs w:val="22"/>
              </w:rPr>
              <w:t xml:space="preserve"> Team (</w:t>
            </w:r>
            <w:r>
              <w:rPr>
                <w:b/>
                <w:bCs/>
                <w:color w:val="000000"/>
                <w:sz w:val="22"/>
                <w:szCs w:val="22"/>
              </w:rPr>
              <w:t>MR</w:t>
            </w:r>
            <w:r w:rsidRPr="00D431D9">
              <w:rPr>
                <w:b/>
                <w:bCs/>
                <w:color w:val="000000"/>
                <w:sz w:val="22"/>
                <w:szCs w:val="22"/>
              </w:rPr>
              <w:t>T)</w:t>
            </w:r>
          </w:p>
        </w:tc>
      </w:tr>
      <w:tr w:rsidR="007259F1" w:rsidRPr="00D431D9" w14:paraId="471F63B9" w14:textId="77777777" w:rsidTr="00A93E09">
        <w:trPr>
          <w:trHeight w:val="312"/>
          <w:jc w:val="center"/>
        </w:trPr>
        <w:tc>
          <w:tcPr>
            <w:tcW w:w="2899" w:type="pct"/>
            <w:gridSpan w:val="2"/>
            <w:shd w:val="clear" w:color="auto" w:fill="C6D9F1"/>
          </w:tcPr>
          <w:p w14:paraId="444E3092" w14:textId="77777777" w:rsidR="007259F1" w:rsidRPr="00D431D9" w:rsidRDefault="007259F1" w:rsidP="00A93E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1D9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2101" w:type="pct"/>
            <w:shd w:val="clear" w:color="auto" w:fill="C6D9F1"/>
          </w:tcPr>
          <w:p w14:paraId="06AA1CCC" w14:textId="77777777" w:rsidR="007259F1" w:rsidRPr="00D431D9" w:rsidRDefault="007259F1" w:rsidP="00A93E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1D9">
              <w:rPr>
                <w:b/>
                <w:bCs/>
                <w:color w:val="000000"/>
                <w:sz w:val="22"/>
                <w:szCs w:val="22"/>
              </w:rPr>
              <w:t>Network Target</w:t>
            </w:r>
          </w:p>
        </w:tc>
      </w:tr>
      <w:tr w:rsidR="007259F1" w:rsidRPr="00F976D9" w14:paraId="6067F3DF" w14:textId="77777777" w:rsidTr="00A93E09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A419118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Children’s Mental Health</w:t>
            </w:r>
          </w:p>
        </w:tc>
      </w:tr>
      <w:tr w:rsidR="007259F1" w:rsidRPr="00F976D9" w14:paraId="431E2352" w14:textId="77777777" w:rsidTr="00A93E09">
        <w:trPr>
          <w:trHeight w:val="312"/>
          <w:jc w:val="center"/>
        </w:trPr>
        <w:tc>
          <w:tcPr>
            <w:tcW w:w="205" w:type="pct"/>
            <w:shd w:val="clear" w:color="auto" w:fill="auto"/>
            <w:hideMark/>
          </w:tcPr>
          <w:p w14:paraId="0F03AE05" w14:textId="77777777" w:rsidR="007259F1" w:rsidRPr="00F976D9" w:rsidRDefault="007259F1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a.</w:t>
            </w:r>
          </w:p>
        </w:tc>
        <w:tc>
          <w:tcPr>
            <w:tcW w:w="2695" w:type="pct"/>
            <w:shd w:val="clear" w:color="auto" w:fill="auto"/>
            <w:hideMark/>
          </w:tcPr>
          <w:p w14:paraId="1B37C0E6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Percentage of mobile crisis responses responded to within at least an hour. 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44EFEB2E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80% of calls resulting in a mobile episode will be responded to within one hour.</w:t>
            </w:r>
          </w:p>
        </w:tc>
      </w:tr>
      <w:tr w:rsidR="007259F1" w:rsidRPr="00F976D9" w14:paraId="3854B0F7" w14:textId="77777777" w:rsidTr="00A93E09">
        <w:trPr>
          <w:trHeight w:val="269"/>
          <w:jc w:val="center"/>
        </w:trPr>
        <w:tc>
          <w:tcPr>
            <w:tcW w:w="205" w:type="pct"/>
            <w:shd w:val="clear" w:color="auto" w:fill="auto"/>
            <w:hideMark/>
          </w:tcPr>
          <w:p w14:paraId="763DD1EF" w14:textId="77777777" w:rsidR="007259F1" w:rsidRPr="00F976D9" w:rsidRDefault="007259F1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b.</w:t>
            </w:r>
          </w:p>
        </w:tc>
        <w:tc>
          <w:tcPr>
            <w:tcW w:w="2695" w:type="pct"/>
            <w:shd w:val="clear" w:color="auto" w:fill="auto"/>
            <w:hideMark/>
          </w:tcPr>
          <w:p w14:paraId="3CABB32A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Percentage of individuals diverted from hospitalization or arrest.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205171E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80% of individuals </w:t>
            </w:r>
            <w:proofErr w:type="gramStart"/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are able to</w:t>
            </w:r>
            <w:proofErr w:type="gramEnd"/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remain in their living environment as an outcome of mobile crisis episodes.</w:t>
            </w:r>
          </w:p>
        </w:tc>
      </w:tr>
      <w:tr w:rsidR="007259F1" w:rsidRPr="00F976D9" w14:paraId="4AACF66C" w14:textId="77777777" w:rsidTr="00A93E09">
        <w:trPr>
          <w:trHeight w:val="312"/>
          <w:jc w:val="center"/>
        </w:trPr>
        <w:tc>
          <w:tcPr>
            <w:tcW w:w="205" w:type="pct"/>
            <w:shd w:val="clear" w:color="auto" w:fill="auto"/>
            <w:hideMark/>
          </w:tcPr>
          <w:p w14:paraId="2415D01E" w14:textId="77777777" w:rsidR="007259F1" w:rsidRPr="00F976D9" w:rsidRDefault="007259F1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c.</w:t>
            </w:r>
          </w:p>
        </w:tc>
        <w:tc>
          <w:tcPr>
            <w:tcW w:w="2695" w:type="pct"/>
            <w:shd w:val="clear" w:color="auto" w:fill="auto"/>
            <w:hideMark/>
          </w:tcPr>
          <w:p w14:paraId="73DDE750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Percentage of clients reporting satisfaction with mobile response services.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2FFCECB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95% of individuals and families receiving services will report satisfaction with the Mobile Response Team.</w:t>
            </w:r>
          </w:p>
        </w:tc>
      </w:tr>
    </w:tbl>
    <w:p w14:paraId="26A42571" w14:textId="77777777" w:rsidR="00EF5392" w:rsidRDefault="00EF5392" w:rsidP="00740DF3">
      <w:pPr>
        <w:widowControl/>
        <w:rPr>
          <w:sz w:val="22"/>
          <w:szCs w:val="22"/>
        </w:rPr>
      </w:pPr>
    </w:p>
    <w:sectPr w:rsidR="00EF5392" w:rsidSect="00C7558C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746A43F5" w:rsidR="00E50812" w:rsidRPr="00E50812" w:rsidRDefault="007259F1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Brevard C.A.R.E.S.,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4BAFF0BA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259F1">
            <w:rPr>
              <w:rFonts w:ascii="Times New Roman" w:hAnsi="Times New Roman" w:cs="Times New Roman"/>
              <w:sz w:val="20"/>
              <w:szCs w:val="20"/>
            </w:rPr>
            <w:t>BRC20 Amendment 1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259F1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42BD-68D4-4962-A3A3-542B6B26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2019-11-26T14:44:00Z</dcterms:modified>
</cp:coreProperties>
</file>