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56F1" w14:textId="77777777" w:rsidR="000D4B0E" w:rsidRPr="000E6DA6" w:rsidRDefault="000D4B0E" w:rsidP="000D4B0E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>A. Target Population</w:t>
      </w:r>
    </w:p>
    <w:p w14:paraId="199B3A7D" w14:textId="77777777" w:rsidR="000D4B0E" w:rsidRPr="000E6DA6" w:rsidRDefault="000D4B0E" w:rsidP="000D4B0E">
      <w:pPr>
        <w:widowControl/>
        <w:ind w:left="720"/>
        <w:jc w:val="both"/>
        <w:rPr>
          <w:b/>
          <w:bCs/>
          <w:sz w:val="22"/>
          <w:szCs w:val="22"/>
        </w:rPr>
      </w:pPr>
    </w:p>
    <w:p w14:paraId="731F8634" w14:textId="77777777" w:rsidR="000D4B0E" w:rsidRPr="000E6DA6" w:rsidRDefault="000D4B0E" w:rsidP="000D4B0E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target populations approved by the Legislature. The Subcontractor </w:t>
      </w:r>
      <w:r>
        <w:rPr>
          <w:sz w:val="22"/>
          <w:szCs w:val="22"/>
        </w:rPr>
        <w:t xml:space="preserve">further </w:t>
      </w:r>
      <w:r w:rsidRPr="000E6DA6">
        <w:rPr>
          <w:sz w:val="22"/>
          <w:szCs w:val="22"/>
        </w:rPr>
        <w:t xml:space="preserve">agrees that funds provided in this contract will not be used to serve persons outside the </w:t>
      </w:r>
      <w:r>
        <w:rPr>
          <w:sz w:val="22"/>
          <w:szCs w:val="22"/>
        </w:rPr>
        <w:t>descriptions</w:t>
      </w:r>
      <w:r w:rsidRPr="000E6DA6">
        <w:rPr>
          <w:sz w:val="22"/>
          <w:szCs w:val="22"/>
        </w:rPr>
        <w:t xml:space="preserve"> specified in the table below:</w:t>
      </w:r>
    </w:p>
    <w:p w14:paraId="1B6C6CF5" w14:textId="77777777" w:rsidR="000D4B0E" w:rsidRPr="000E6DA6" w:rsidRDefault="000D4B0E" w:rsidP="000D4B0E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0D4B0E" w:rsidRPr="000E6DA6" w14:paraId="7BC2364C" w14:textId="77777777" w:rsidTr="007616A1">
        <w:trPr>
          <w:trHeight w:val="287"/>
        </w:trPr>
        <w:tc>
          <w:tcPr>
            <w:tcW w:w="9900" w:type="dxa"/>
          </w:tcPr>
          <w:p w14:paraId="299CB46B" w14:textId="77777777" w:rsidR="000D4B0E" w:rsidRPr="000E6DA6" w:rsidRDefault="000D4B0E" w:rsidP="007616A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Central Receiving System</w:t>
            </w:r>
          </w:p>
        </w:tc>
      </w:tr>
      <w:tr w:rsidR="000D4B0E" w:rsidRPr="000E6DA6" w14:paraId="691FD9CA" w14:textId="77777777" w:rsidTr="007616A1">
        <w:trPr>
          <w:trHeight w:val="287"/>
        </w:trPr>
        <w:tc>
          <w:tcPr>
            <w:tcW w:w="9900" w:type="dxa"/>
          </w:tcPr>
          <w:p w14:paraId="64AA021C" w14:textId="77777777" w:rsidR="000D4B0E" w:rsidRPr="000E6DA6" w:rsidRDefault="000D4B0E" w:rsidP="007616A1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sz w:val="22"/>
                <w:szCs w:val="22"/>
              </w:rPr>
              <w:instrText xml:space="preserve"> FORMCHECKBOX </w:instrText>
            </w:r>
            <w:r w:rsidR="00711EAB">
              <w:rPr>
                <w:sz w:val="22"/>
                <w:szCs w:val="22"/>
              </w:rPr>
            </w:r>
            <w:r w:rsidR="00711E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Individuals needing evaluation or stabilization under section 394.463, F.S., the Baker Act</w:t>
            </w:r>
          </w:p>
        </w:tc>
      </w:tr>
      <w:tr w:rsidR="000D4B0E" w:rsidRPr="000E6DA6" w14:paraId="58D16F5D" w14:textId="77777777" w:rsidTr="007616A1">
        <w:trPr>
          <w:trHeight w:val="287"/>
        </w:trPr>
        <w:tc>
          <w:tcPr>
            <w:tcW w:w="9900" w:type="dxa"/>
          </w:tcPr>
          <w:p w14:paraId="05F310A0" w14:textId="77777777" w:rsidR="000D4B0E" w:rsidRPr="000E6DA6" w:rsidRDefault="000D4B0E" w:rsidP="007616A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711EAB">
              <w:rPr>
                <w:sz w:val="22"/>
                <w:szCs w:val="22"/>
              </w:rPr>
            </w:r>
            <w:r w:rsidR="00711E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Individuals needing evaluation or stabilization under section 397.675, F.S., the Marchman Act</w:t>
            </w:r>
          </w:p>
        </w:tc>
      </w:tr>
      <w:tr w:rsidR="000D4B0E" w:rsidRPr="000E6DA6" w14:paraId="1BAE4590" w14:textId="77777777" w:rsidTr="007616A1">
        <w:trPr>
          <w:trHeight w:val="287"/>
        </w:trPr>
        <w:tc>
          <w:tcPr>
            <w:tcW w:w="9900" w:type="dxa"/>
          </w:tcPr>
          <w:p w14:paraId="75AA2730" w14:textId="77777777" w:rsidR="000D4B0E" w:rsidRPr="000E6DA6" w:rsidRDefault="000D4B0E" w:rsidP="007616A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711EAB">
              <w:rPr>
                <w:sz w:val="22"/>
                <w:szCs w:val="22"/>
              </w:rPr>
            </w:r>
            <w:r w:rsidR="00711EA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Individuals needing crisis services as defined in subsections 394.67(17)-(18), F.S.</w:t>
            </w:r>
          </w:p>
        </w:tc>
      </w:tr>
    </w:tbl>
    <w:p w14:paraId="07AF7929" w14:textId="77777777" w:rsidR="000D4B0E" w:rsidRPr="000E6DA6" w:rsidRDefault="000D4B0E" w:rsidP="000D4B0E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71C7D72F" w14:textId="77777777" w:rsidR="000D4B0E" w:rsidRPr="000E6DA6" w:rsidRDefault="000D4B0E" w:rsidP="000D4B0E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1A97163F" w14:textId="77777777" w:rsidR="000D4B0E" w:rsidRDefault="000D4B0E" w:rsidP="000D4B0E">
      <w:pPr>
        <w:widowControl/>
        <w:jc w:val="both"/>
        <w:rPr>
          <w:color w:val="000000"/>
          <w:sz w:val="22"/>
          <w:szCs w:val="22"/>
        </w:rPr>
      </w:pPr>
    </w:p>
    <w:p w14:paraId="313D1F37" w14:textId="77777777" w:rsidR="000D4B0E" w:rsidRPr="000E6DA6" w:rsidRDefault="000D4B0E" w:rsidP="000D4B0E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Subcontractor.  </w:t>
      </w:r>
    </w:p>
    <w:p w14:paraId="10E360E4" w14:textId="763183FA" w:rsidR="000D4B0E" w:rsidRDefault="000D4B0E" w:rsidP="000D4B0E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4A0FF43" w14:textId="77777777" w:rsidR="000D4B0E" w:rsidRPr="000E6DA6" w:rsidRDefault="000D4B0E" w:rsidP="000D4B0E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7E08D17B" w14:textId="77777777" w:rsidR="000D4B0E" w:rsidRPr="000E6DA6" w:rsidRDefault="000D4B0E" w:rsidP="000D4B0E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335966E7" w14:textId="0F6D95B8" w:rsidR="000D4B0E" w:rsidRDefault="000D4B0E" w:rsidP="000D4B0E">
      <w:pPr>
        <w:widowControl/>
        <w:rPr>
          <w:sz w:val="22"/>
          <w:szCs w:val="22"/>
        </w:rPr>
      </w:pPr>
    </w:p>
    <w:p w14:paraId="7A15684A" w14:textId="224EE4C8" w:rsidR="000D4B0E" w:rsidRDefault="000D4B0E" w:rsidP="000D4B0E">
      <w:pPr>
        <w:widowControl/>
        <w:rPr>
          <w:sz w:val="22"/>
          <w:szCs w:val="22"/>
        </w:rPr>
      </w:pPr>
    </w:p>
    <w:p w14:paraId="47AB96E9" w14:textId="77777777" w:rsidR="000D4B0E" w:rsidRPr="000E6DA6" w:rsidRDefault="000D4B0E" w:rsidP="000D4B0E">
      <w:pPr>
        <w:widowControl/>
        <w:rPr>
          <w:sz w:val="22"/>
          <w:szCs w:val="2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14"/>
        <w:gridCol w:w="4739"/>
        <w:gridCol w:w="4741"/>
      </w:tblGrid>
      <w:tr w:rsidR="000D4B0E" w:rsidRPr="000E6DA6" w14:paraId="0B14F3C0" w14:textId="77777777" w:rsidTr="007616A1">
        <w:trPr>
          <w:trHeight w:val="269"/>
          <w:jc w:val="center"/>
        </w:trPr>
        <w:tc>
          <w:tcPr>
            <w:tcW w:w="209" w:type="pct"/>
            <w:shd w:val="clear" w:color="auto" w:fill="auto"/>
          </w:tcPr>
          <w:p w14:paraId="07CD7248" w14:textId="77777777" w:rsidR="000D4B0E" w:rsidRPr="000E6DA6" w:rsidRDefault="000D4B0E" w:rsidP="00761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5" w:type="pct"/>
            <w:shd w:val="clear" w:color="auto" w:fill="8DB3E2" w:themeFill="text2" w:themeFillTint="66"/>
          </w:tcPr>
          <w:p w14:paraId="6FA5D6C5" w14:textId="77777777" w:rsidR="000D4B0E" w:rsidRDefault="000D4B0E" w:rsidP="007616A1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Measure Description</w:t>
            </w:r>
          </w:p>
        </w:tc>
        <w:tc>
          <w:tcPr>
            <w:tcW w:w="2396" w:type="pct"/>
            <w:shd w:val="clear" w:color="auto" w:fill="8DB3E2" w:themeFill="text2" w:themeFillTint="66"/>
          </w:tcPr>
          <w:p w14:paraId="482D409F" w14:textId="77777777" w:rsidR="000D4B0E" w:rsidRDefault="000D4B0E" w:rsidP="007616A1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D4B0E" w:rsidRPr="000E6DA6" w14:paraId="27C83BAF" w14:textId="77777777" w:rsidTr="007616A1">
        <w:trPr>
          <w:trHeight w:val="269"/>
          <w:jc w:val="center"/>
        </w:trPr>
        <w:tc>
          <w:tcPr>
            <w:tcW w:w="209" w:type="pct"/>
            <w:shd w:val="clear" w:color="auto" w:fill="auto"/>
          </w:tcPr>
          <w:p w14:paraId="3DD7B403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2395" w:type="pct"/>
            <w:shd w:val="clear" w:color="auto" w:fill="auto"/>
            <w:hideMark/>
          </w:tcPr>
          <w:p w14:paraId="1721B7D3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Reduce drop-off processing time by law enforcement officers for admission to crisis services.</w:t>
            </w:r>
          </w:p>
        </w:tc>
        <w:tc>
          <w:tcPr>
            <w:tcW w:w="2396" w:type="pct"/>
            <w:shd w:val="clear" w:color="auto" w:fill="auto"/>
          </w:tcPr>
          <w:p w14:paraId="0395E03D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95% of all drop offs will be conducted in less than 10 minutes.</w:t>
            </w:r>
          </w:p>
        </w:tc>
      </w:tr>
      <w:tr w:rsidR="000D4B0E" w:rsidRPr="000E6DA6" w14:paraId="1CF9BDB3" w14:textId="77777777" w:rsidTr="007616A1">
        <w:trPr>
          <w:trHeight w:val="312"/>
          <w:jc w:val="center"/>
        </w:trPr>
        <w:tc>
          <w:tcPr>
            <w:tcW w:w="209" w:type="pct"/>
            <w:shd w:val="clear" w:color="auto" w:fill="auto"/>
          </w:tcPr>
          <w:p w14:paraId="47A672E7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2395" w:type="pct"/>
            <w:shd w:val="clear" w:color="auto" w:fill="auto"/>
            <w:hideMark/>
          </w:tcPr>
          <w:p w14:paraId="5792E8F3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 participant access to community-based behavioral health services after referral.</w:t>
            </w:r>
            <w:r w:rsidRPr="000E6D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96" w:type="pct"/>
            <w:shd w:val="clear" w:color="auto" w:fill="auto"/>
          </w:tcPr>
          <w:p w14:paraId="39FF94BC" w14:textId="037B7854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 xml:space="preserve">60% of individuals </w:t>
            </w:r>
            <w:r>
              <w:rPr>
                <w:color w:val="000000"/>
                <w:sz w:val="22"/>
                <w:szCs w:val="22"/>
              </w:rPr>
              <w:t xml:space="preserve">that have had </w:t>
            </w:r>
            <w:r w:rsidRPr="00E16E04">
              <w:rPr>
                <w:color w:val="000000"/>
                <w:sz w:val="22"/>
                <w:szCs w:val="22"/>
              </w:rPr>
              <w:t xml:space="preserve">2 or more </w:t>
            </w:r>
            <w:r>
              <w:rPr>
                <w:color w:val="000000"/>
                <w:sz w:val="22"/>
                <w:szCs w:val="22"/>
              </w:rPr>
              <w:t xml:space="preserve">crisis </w:t>
            </w:r>
            <w:r w:rsidRPr="00E16E04">
              <w:rPr>
                <w:color w:val="000000"/>
                <w:sz w:val="22"/>
                <w:szCs w:val="22"/>
              </w:rPr>
              <w:t xml:space="preserve">admissions in </w:t>
            </w:r>
            <w:r>
              <w:rPr>
                <w:color w:val="000000"/>
                <w:sz w:val="22"/>
                <w:szCs w:val="22"/>
              </w:rPr>
              <w:t xml:space="preserve">the past </w:t>
            </w:r>
            <w:r w:rsidRPr="00E16E04">
              <w:rPr>
                <w:color w:val="000000"/>
                <w:sz w:val="22"/>
                <w:szCs w:val="22"/>
              </w:rPr>
              <w:t>6 months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16E04">
              <w:rPr>
                <w:color w:val="000000"/>
                <w:sz w:val="22"/>
                <w:szCs w:val="22"/>
              </w:rPr>
              <w:t xml:space="preserve">will </w:t>
            </w:r>
            <w:proofErr w:type="gramStart"/>
            <w:r w:rsidRPr="00E16E04">
              <w:rPr>
                <w:color w:val="000000"/>
                <w:sz w:val="22"/>
                <w:szCs w:val="22"/>
              </w:rPr>
              <w:t>be connected with</w:t>
            </w:r>
            <w:proofErr w:type="gramEnd"/>
            <w:r w:rsidRPr="00E16E04">
              <w:rPr>
                <w:color w:val="000000"/>
                <w:sz w:val="22"/>
                <w:szCs w:val="22"/>
              </w:rPr>
              <w:t xml:space="preserve"> a </w:t>
            </w:r>
            <w:r w:rsidR="00711EAB" w:rsidRPr="00E16E04">
              <w:rPr>
                <w:color w:val="000000"/>
                <w:sz w:val="22"/>
                <w:szCs w:val="22"/>
              </w:rPr>
              <w:t>community-based</w:t>
            </w:r>
            <w:r w:rsidRPr="00E16E04">
              <w:rPr>
                <w:color w:val="000000"/>
                <w:sz w:val="22"/>
                <w:szCs w:val="22"/>
              </w:rPr>
              <w:t xml:space="preserve"> service</w:t>
            </w:r>
            <w:r>
              <w:rPr>
                <w:color w:val="000000"/>
                <w:sz w:val="22"/>
                <w:szCs w:val="22"/>
              </w:rPr>
              <w:t xml:space="preserve"> within 30 days post discharge from the CRS</w:t>
            </w:r>
            <w:r w:rsidRPr="00E16E04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0D4B0E" w:rsidRPr="000E6DA6" w14:paraId="1A2AC32C" w14:textId="77777777" w:rsidTr="007616A1">
        <w:trPr>
          <w:trHeight w:val="584"/>
          <w:jc w:val="center"/>
        </w:trPr>
        <w:tc>
          <w:tcPr>
            <w:tcW w:w="209" w:type="pct"/>
            <w:shd w:val="clear" w:color="auto" w:fill="auto"/>
          </w:tcPr>
          <w:p w14:paraId="33EF47DB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2395" w:type="pct"/>
            <w:shd w:val="clear" w:color="auto" w:fill="auto"/>
          </w:tcPr>
          <w:p w14:paraId="7DA46F80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Reduce number of individuals admitted to a forensic state mental health treatment facility.</w:t>
            </w:r>
          </w:p>
        </w:tc>
        <w:tc>
          <w:tcPr>
            <w:tcW w:w="2396" w:type="pct"/>
            <w:shd w:val="clear" w:color="auto" w:fill="auto"/>
          </w:tcPr>
          <w:p w14:paraId="285684A0" w14:textId="2C4BFA9F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 xml:space="preserve">Maintain forensic state mental health treatment facility admissions at target </w:t>
            </w:r>
            <w:r w:rsidRPr="00E16E04">
              <w:rPr>
                <w:color w:val="000000"/>
                <w:sz w:val="22"/>
                <w:szCs w:val="22"/>
                <w:u w:val="single"/>
              </w:rPr>
              <w:t>&lt;</w:t>
            </w:r>
            <w:r w:rsidRPr="00E16E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E16E04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annually</w:t>
            </w:r>
            <w:r w:rsidRPr="00E16E04">
              <w:rPr>
                <w:color w:val="000000"/>
                <w:sz w:val="22"/>
                <w:szCs w:val="22"/>
              </w:rPr>
              <w:t>.</w:t>
            </w:r>
          </w:p>
        </w:tc>
      </w:tr>
      <w:tr w:rsidR="000D4B0E" w:rsidRPr="000E6DA6" w14:paraId="2DE2F89B" w14:textId="77777777" w:rsidTr="007616A1">
        <w:trPr>
          <w:trHeight w:val="312"/>
          <w:jc w:val="center"/>
        </w:trPr>
        <w:tc>
          <w:tcPr>
            <w:tcW w:w="209" w:type="pct"/>
            <w:shd w:val="clear" w:color="auto" w:fill="auto"/>
          </w:tcPr>
          <w:p w14:paraId="758E28AD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2395" w:type="pct"/>
            <w:shd w:val="clear" w:color="auto" w:fill="auto"/>
          </w:tcPr>
          <w:p w14:paraId="69BB6FCE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 days in community between arrests.</w:t>
            </w:r>
          </w:p>
        </w:tc>
        <w:tc>
          <w:tcPr>
            <w:tcW w:w="2396" w:type="pct"/>
            <w:shd w:val="clear" w:color="auto" w:fill="auto"/>
          </w:tcPr>
          <w:p w14:paraId="56BD0E85" w14:textId="77777777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 xml:space="preserve">60% increase in number of days in the community between arrests for individuals referred by county corrections to CRS. </w:t>
            </w:r>
          </w:p>
        </w:tc>
      </w:tr>
      <w:tr w:rsidR="000D4B0E" w:rsidRPr="000E6DA6" w14:paraId="1ABC7E6E" w14:textId="77777777" w:rsidTr="007616A1">
        <w:trPr>
          <w:trHeight w:val="312"/>
          <w:jc w:val="center"/>
        </w:trPr>
        <w:tc>
          <w:tcPr>
            <w:tcW w:w="209" w:type="pct"/>
            <w:shd w:val="clear" w:color="auto" w:fill="auto"/>
          </w:tcPr>
          <w:p w14:paraId="7768288C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2395" w:type="pct"/>
            <w:shd w:val="clear" w:color="auto" w:fill="auto"/>
          </w:tcPr>
          <w:p w14:paraId="71E885AE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 days in community between crisis or emergency room admissions.</w:t>
            </w:r>
          </w:p>
        </w:tc>
        <w:tc>
          <w:tcPr>
            <w:tcW w:w="2396" w:type="pct"/>
            <w:shd w:val="clear" w:color="auto" w:fill="auto"/>
          </w:tcPr>
          <w:p w14:paraId="005D6A1D" w14:textId="77777777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 xml:space="preserve">60% increase in number of days in the community for individuals enrolled in care coordination </w:t>
            </w:r>
            <w:proofErr w:type="gramStart"/>
            <w:r w:rsidRPr="00E16E04">
              <w:rPr>
                <w:color w:val="000000"/>
                <w:sz w:val="22"/>
                <w:szCs w:val="22"/>
              </w:rPr>
              <w:t>during</w:t>
            </w:r>
            <w:proofErr w:type="gramEnd"/>
            <w:r w:rsidRPr="00E16E04">
              <w:rPr>
                <w:color w:val="000000"/>
                <w:sz w:val="22"/>
                <w:szCs w:val="22"/>
              </w:rPr>
              <w:t xml:space="preserve"> 6 months follow-up period post-discharge from last crisis stabilization episode.</w:t>
            </w:r>
          </w:p>
        </w:tc>
      </w:tr>
    </w:tbl>
    <w:p w14:paraId="4C4AF5AA" w14:textId="6E48E5E9" w:rsidR="000D4B0E" w:rsidRDefault="000D4B0E" w:rsidP="000D4B0E">
      <w:pPr>
        <w:widowControl/>
        <w:rPr>
          <w:sz w:val="22"/>
          <w:szCs w:val="22"/>
        </w:rPr>
      </w:pPr>
    </w:p>
    <w:p w14:paraId="7DA90657" w14:textId="58652A9F" w:rsidR="000D4B0E" w:rsidRDefault="000D4B0E" w:rsidP="000D4B0E">
      <w:pPr>
        <w:widowControl/>
        <w:rPr>
          <w:sz w:val="22"/>
          <w:szCs w:val="22"/>
        </w:rPr>
      </w:pPr>
    </w:p>
    <w:p w14:paraId="3C20E8B5" w14:textId="558C4484" w:rsidR="000D4B0E" w:rsidRDefault="000D4B0E" w:rsidP="000D4B0E">
      <w:pPr>
        <w:widowControl/>
        <w:rPr>
          <w:sz w:val="22"/>
          <w:szCs w:val="22"/>
        </w:rPr>
      </w:pPr>
    </w:p>
    <w:p w14:paraId="012D50DA" w14:textId="428366F4" w:rsidR="000D4B0E" w:rsidRDefault="000D4B0E" w:rsidP="000D4B0E">
      <w:pPr>
        <w:widowControl/>
        <w:rPr>
          <w:sz w:val="22"/>
          <w:szCs w:val="22"/>
        </w:rPr>
      </w:pPr>
    </w:p>
    <w:p w14:paraId="46117B7A" w14:textId="27BADEA6" w:rsidR="000D4B0E" w:rsidRDefault="000D4B0E" w:rsidP="000D4B0E">
      <w:pPr>
        <w:widowControl/>
        <w:rPr>
          <w:sz w:val="22"/>
          <w:szCs w:val="22"/>
        </w:rPr>
      </w:pPr>
    </w:p>
    <w:p w14:paraId="46FC4C4A" w14:textId="58077F62" w:rsidR="000D4B0E" w:rsidRDefault="000D4B0E" w:rsidP="000D4B0E">
      <w:pPr>
        <w:widowControl/>
        <w:rPr>
          <w:sz w:val="22"/>
          <w:szCs w:val="22"/>
        </w:rPr>
      </w:pPr>
    </w:p>
    <w:p w14:paraId="32AEBDE6" w14:textId="74B7FE96" w:rsidR="000D4B0E" w:rsidRDefault="000D4B0E" w:rsidP="000D4B0E">
      <w:pPr>
        <w:widowControl/>
        <w:rPr>
          <w:sz w:val="22"/>
          <w:szCs w:val="22"/>
        </w:rPr>
      </w:pPr>
    </w:p>
    <w:p w14:paraId="51AEBF1F" w14:textId="37E6E134" w:rsidR="000D4B0E" w:rsidRDefault="000D4B0E" w:rsidP="000D4B0E">
      <w:pPr>
        <w:widowControl/>
        <w:rPr>
          <w:sz w:val="22"/>
          <w:szCs w:val="22"/>
        </w:rPr>
      </w:pPr>
    </w:p>
    <w:p w14:paraId="2F5A52AC" w14:textId="37224E9A" w:rsidR="000D4B0E" w:rsidRDefault="000D4B0E" w:rsidP="000D4B0E">
      <w:pPr>
        <w:widowControl/>
        <w:rPr>
          <w:sz w:val="22"/>
          <w:szCs w:val="22"/>
        </w:rPr>
      </w:pPr>
    </w:p>
    <w:p w14:paraId="3A2E33AD" w14:textId="19814380" w:rsidR="000D4B0E" w:rsidRDefault="000D4B0E" w:rsidP="000D4B0E">
      <w:pPr>
        <w:widowControl/>
        <w:rPr>
          <w:sz w:val="22"/>
          <w:szCs w:val="22"/>
        </w:rPr>
      </w:pPr>
    </w:p>
    <w:p w14:paraId="0F073C33" w14:textId="239D3AEF" w:rsidR="000D4B0E" w:rsidRDefault="000D4B0E" w:rsidP="000D4B0E">
      <w:pPr>
        <w:widowControl/>
        <w:rPr>
          <w:sz w:val="22"/>
          <w:szCs w:val="22"/>
        </w:rPr>
      </w:pPr>
    </w:p>
    <w:p w14:paraId="61EAA476" w14:textId="01B42135" w:rsidR="000D4B0E" w:rsidRDefault="000D4B0E" w:rsidP="000D4B0E">
      <w:pPr>
        <w:widowControl/>
        <w:rPr>
          <w:sz w:val="22"/>
          <w:szCs w:val="22"/>
        </w:rPr>
      </w:pPr>
    </w:p>
    <w:p w14:paraId="766A95AA" w14:textId="77777777" w:rsidR="000D4B0E" w:rsidRDefault="000D4B0E" w:rsidP="000D4B0E">
      <w:pPr>
        <w:widowControl/>
        <w:rPr>
          <w:sz w:val="22"/>
          <w:szCs w:val="22"/>
        </w:rPr>
      </w:pPr>
    </w:p>
    <w:p w14:paraId="72BF495B" w14:textId="79DA787B" w:rsidR="000D4B0E" w:rsidRDefault="000D4B0E" w:rsidP="000D4B0E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D.</w:t>
      </w:r>
      <w:r w:rsidRPr="000E6DA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Measure Algorithms</w:t>
      </w:r>
    </w:p>
    <w:p w14:paraId="2F6E16A7" w14:textId="71FC896D" w:rsidR="000D4B0E" w:rsidRDefault="000D4B0E" w:rsidP="000D4B0E">
      <w:pPr>
        <w:widowControl/>
        <w:rPr>
          <w:sz w:val="22"/>
          <w:szCs w:val="22"/>
        </w:rPr>
      </w:pPr>
    </w:p>
    <w:p w14:paraId="0031164F" w14:textId="77777777" w:rsidR="000D4B0E" w:rsidRDefault="000D4B0E" w:rsidP="000D4B0E">
      <w:pPr>
        <w:widowControl/>
        <w:rPr>
          <w:sz w:val="22"/>
          <w:szCs w:val="2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365"/>
      </w:tblGrid>
      <w:tr w:rsidR="000D4B0E" w:rsidRPr="000E6DA6" w14:paraId="05656C2D" w14:textId="77777777" w:rsidTr="007616A1">
        <w:trPr>
          <w:trHeight w:val="269"/>
          <w:jc w:val="center"/>
        </w:trPr>
        <w:tc>
          <w:tcPr>
            <w:tcW w:w="5000" w:type="pct"/>
            <w:gridSpan w:val="2"/>
            <w:shd w:val="clear" w:color="auto" w:fill="8DB3E2"/>
            <w:vAlign w:val="center"/>
          </w:tcPr>
          <w:p w14:paraId="2D67E268" w14:textId="77777777" w:rsidR="000D4B0E" w:rsidRPr="000E6DA6" w:rsidRDefault="000D4B0E" w:rsidP="007616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 xml:space="preserve">Measure </w:t>
            </w:r>
            <w:r>
              <w:rPr>
                <w:b/>
                <w:bCs/>
                <w:color w:val="000000"/>
                <w:sz w:val="22"/>
                <w:szCs w:val="22"/>
              </w:rPr>
              <w:t>Algorithms</w:t>
            </w:r>
          </w:p>
        </w:tc>
      </w:tr>
      <w:tr w:rsidR="000D4B0E" w:rsidRPr="000E6DA6" w14:paraId="734EAC12" w14:textId="77777777" w:rsidTr="007616A1">
        <w:trPr>
          <w:trHeight w:val="269"/>
          <w:jc w:val="center"/>
        </w:trPr>
        <w:tc>
          <w:tcPr>
            <w:tcW w:w="227" w:type="pct"/>
            <w:shd w:val="clear" w:color="auto" w:fill="auto"/>
          </w:tcPr>
          <w:p w14:paraId="1EF3BD43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4773" w:type="pct"/>
            <w:shd w:val="clear" w:color="auto" w:fill="auto"/>
            <w:hideMark/>
          </w:tcPr>
          <w:p w14:paraId="07B06EB0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>Reduce drop-off processing time by law enforcement officers f</w:t>
            </w:r>
            <w:r>
              <w:rPr>
                <w:color w:val="000000"/>
                <w:sz w:val="22"/>
                <w:szCs w:val="22"/>
              </w:rPr>
              <w:t>or admission to crisis services.</w:t>
            </w:r>
          </w:p>
          <w:p w14:paraId="16930405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</w:p>
          <w:p w14:paraId="210E027E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  <w:r w:rsidRPr="005B6A4F">
              <w:rPr>
                <w:i/>
                <w:color w:val="000000"/>
                <w:sz w:val="22"/>
                <w:szCs w:val="22"/>
              </w:rPr>
              <w:t>Measured by a Drop-Off Time date-time stamp on the Client Admission Ticket at time LEO officer walks into the CR</w:t>
            </w:r>
            <w:r>
              <w:rPr>
                <w:i/>
                <w:color w:val="000000"/>
                <w:sz w:val="22"/>
                <w:szCs w:val="22"/>
              </w:rPr>
              <w:t>F</w:t>
            </w:r>
            <w:r w:rsidRPr="005B6A4F">
              <w:rPr>
                <w:i/>
                <w:color w:val="000000"/>
                <w:sz w:val="22"/>
                <w:szCs w:val="22"/>
              </w:rPr>
              <w:t xml:space="preserve"> with a patient and by a Time-Out date-time stamp on the Client Admission Ticket when the LEO officer exits the CRF.</w:t>
            </w:r>
            <w:r w:rsidRPr="005B6A4F">
              <w:rPr>
                <w:color w:val="000000"/>
                <w:sz w:val="22"/>
                <w:szCs w:val="22"/>
              </w:rPr>
              <w:t xml:space="preserve"> </w:t>
            </w:r>
            <w:r w:rsidRPr="00E16E04">
              <w:rPr>
                <w:color w:val="000000"/>
                <w:sz w:val="22"/>
                <w:szCs w:val="22"/>
              </w:rPr>
              <w:t xml:space="preserve"> </w:t>
            </w:r>
          </w:p>
          <w:p w14:paraId="31826AF9" w14:textId="77777777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 xml:space="preserve">   </w:t>
            </w:r>
          </w:p>
        </w:tc>
      </w:tr>
      <w:tr w:rsidR="000D4B0E" w:rsidRPr="000E6DA6" w14:paraId="4FC6FFDA" w14:textId="77777777" w:rsidTr="007616A1">
        <w:trPr>
          <w:trHeight w:val="312"/>
          <w:jc w:val="center"/>
        </w:trPr>
        <w:tc>
          <w:tcPr>
            <w:tcW w:w="227" w:type="pct"/>
            <w:shd w:val="clear" w:color="auto" w:fill="auto"/>
          </w:tcPr>
          <w:p w14:paraId="31AEB2F3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4773" w:type="pct"/>
            <w:shd w:val="clear" w:color="auto" w:fill="auto"/>
            <w:hideMark/>
          </w:tcPr>
          <w:p w14:paraId="1613E85A" w14:textId="77777777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>Increase participant access to community-based behavioral</w:t>
            </w:r>
            <w:r>
              <w:rPr>
                <w:color w:val="000000"/>
                <w:sz w:val="22"/>
                <w:szCs w:val="22"/>
              </w:rPr>
              <w:t xml:space="preserve"> health services after referral.</w:t>
            </w:r>
          </w:p>
          <w:p w14:paraId="14C57088" w14:textId="77777777" w:rsidR="000D4B0E" w:rsidRDefault="000D4B0E" w:rsidP="007616A1">
            <w:pPr>
              <w:ind w:hanging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57ACED8" w14:textId="77777777" w:rsidR="000D4B0E" w:rsidRPr="005B6A4F" w:rsidRDefault="000D4B0E" w:rsidP="007616A1">
            <w:pPr>
              <w:ind w:hanging="18"/>
              <w:rPr>
                <w:i/>
                <w:color w:val="000000"/>
                <w:sz w:val="22"/>
                <w:szCs w:val="22"/>
              </w:rPr>
            </w:pPr>
            <w:r w:rsidRPr="005B6A4F">
              <w:rPr>
                <w:i/>
                <w:color w:val="000000"/>
                <w:sz w:val="22"/>
                <w:szCs w:val="22"/>
              </w:rPr>
              <w:t>Follow-Up will be conducted by CR</w:t>
            </w:r>
            <w:r>
              <w:rPr>
                <w:i/>
                <w:color w:val="000000"/>
                <w:sz w:val="22"/>
                <w:szCs w:val="22"/>
              </w:rPr>
              <w:t>S</w:t>
            </w:r>
            <w:r w:rsidRPr="005B6A4F">
              <w:rPr>
                <w:i/>
                <w:color w:val="000000"/>
                <w:sz w:val="22"/>
                <w:szCs w:val="22"/>
              </w:rPr>
              <w:t xml:space="preserve"> Care Coordination staff by phone or in-person with discharged CR</w:t>
            </w:r>
            <w:r>
              <w:rPr>
                <w:i/>
                <w:color w:val="000000"/>
                <w:sz w:val="22"/>
                <w:szCs w:val="22"/>
              </w:rPr>
              <w:t>S</w:t>
            </w:r>
            <w:r w:rsidRPr="005B6A4F">
              <w:rPr>
                <w:i/>
                <w:color w:val="000000"/>
                <w:sz w:val="22"/>
                <w:szCs w:val="22"/>
              </w:rPr>
              <w:t xml:space="preserve"> participants within one month after discharge for those who have had 2 more admissions to crisis services in the past 6 months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  <w:r w:rsidRPr="005B6A4F">
              <w:rPr>
                <w:rFonts w:eastAsiaTheme="minorHAnsi"/>
              </w:rPr>
              <w:t xml:space="preserve"> </w:t>
            </w:r>
            <w:r w:rsidRPr="005B6A4F">
              <w:rPr>
                <w:i/>
                <w:color w:val="000000"/>
                <w:sz w:val="22"/>
                <w:szCs w:val="22"/>
              </w:rPr>
              <w:t>Discharge follow-up will be documented in the participant’s electronic health record, and follow-up data of all discharged participants will be analyzed to compare actual rates of successful transition to community-based behavioral services against a target rate of successful transition to community-based behavioral health services.</w:t>
            </w:r>
          </w:p>
          <w:p w14:paraId="035E3294" w14:textId="77777777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</w:p>
        </w:tc>
      </w:tr>
      <w:tr w:rsidR="000D4B0E" w:rsidRPr="000E6DA6" w14:paraId="5A4969D2" w14:textId="77777777" w:rsidTr="007616A1">
        <w:trPr>
          <w:trHeight w:val="305"/>
          <w:jc w:val="center"/>
        </w:trPr>
        <w:tc>
          <w:tcPr>
            <w:tcW w:w="227" w:type="pct"/>
            <w:shd w:val="clear" w:color="auto" w:fill="auto"/>
          </w:tcPr>
          <w:p w14:paraId="20522EDB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4773" w:type="pct"/>
            <w:shd w:val="clear" w:color="auto" w:fill="auto"/>
          </w:tcPr>
          <w:p w14:paraId="0BDC472D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  <w:r w:rsidRPr="00E16E04">
              <w:rPr>
                <w:color w:val="000000"/>
                <w:sz w:val="22"/>
                <w:szCs w:val="22"/>
              </w:rPr>
              <w:t>Reduce number of individuals admitted to a forensic state mental health treatment facility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CA344FE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</w:p>
          <w:p w14:paraId="3E9A8E3A" w14:textId="77777777" w:rsidR="000D4B0E" w:rsidRPr="008C0A66" w:rsidRDefault="000D4B0E" w:rsidP="007616A1">
            <w:pPr>
              <w:rPr>
                <w:i/>
                <w:color w:val="000000"/>
                <w:sz w:val="22"/>
                <w:szCs w:val="22"/>
              </w:rPr>
            </w:pPr>
            <w:r w:rsidRPr="008C0A66">
              <w:rPr>
                <w:i/>
                <w:color w:val="000000"/>
                <w:sz w:val="22"/>
                <w:szCs w:val="22"/>
              </w:rPr>
              <w:t xml:space="preserve">Track number of admissions to forensic state mental health treatment facility </w:t>
            </w:r>
            <w:proofErr w:type="gramStart"/>
            <w:r w:rsidRPr="008C0A66">
              <w:rPr>
                <w:i/>
                <w:color w:val="000000"/>
                <w:sz w:val="22"/>
                <w:szCs w:val="22"/>
              </w:rPr>
              <w:t>on a monthly basis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for those clients that received CRS services at Park Place</w:t>
            </w:r>
            <w:r w:rsidRPr="008C0A66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14:paraId="4A4F2BA0" w14:textId="77777777" w:rsidR="000D4B0E" w:rsidRPr="00E16E04" w:rsidRDefault="000D4B0E" w:rsidP="007616A1">
            <w:pPr>
              <w:rPr>
                <w:color w:val="000000"/>
                <w:sz w:val="22"/>
                <w:szCs w:val="22"/>
              </w:rPr>
            </w:pPr>
          </w:p>
        </w:tc>
      </w:tr>
      <w:tr w:rsidR="000D4B0E" w:rsidRPr="000E6DA6" w14:paraId="6D64334D" w14:textId="77777777" w:rsidTr="007616A1">
        <w:trPr>
          <w:trHeight w:val="312"/>
          <w:jc w:val="center"/>
        </w:trPr>
        <w:tc>
          <w:tcPr>
            <w:tcW w:w="227" w:type="pct"/>
            <w:shd w:val="clear" w:color="auto" w:fill="auto"/>
          </w:tcPr>
          <w:p w14:paraId="4D6D8F2E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4773" w:type="pct"/>
            <w:shd w:val="clear" w:color="auto" w:fill="auto"/>
          </w:tcPr>
          <w:p w14:paraId="7F1AB525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Increase days in community between arrests. </w:t>
            </w:r>
          </w:p>
          <w:p w14:paraId="3EA439B0" w14:textId="77777777" w:rsidR="000D4B0E" w:rsidRDefault="000D4B0E" w:rsidP="007616A1">
            <w:pPr>
              <w:ind w:left="342" w:hanging="3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14:paraId="3D45E87C" w14:textId="77777777" w:rsidR="000D4B0E" w:rsidRPr="005B6A4F" w:rsidRDefault="000D4B0E" w:rsidP="007616A1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F</w:t>
            </w:r>
            <w:r w:rsidRPr="00115F4C">
              <w:rPr>
                <w:i/>
                <w:color w:val="000000"/>
                <w:sz w:val="22"/>
                <w:szCs w:val="22"/>
              </w:rPr>
              <w:t>or those assessed by the CRS</w:t>
            </w:r>
            <w:r>
              <w:rPr>
                <w:i/>
                <w:color w:val="000000"/>
                <w:sz w:val="22"/>
                <w:szCs w:val="22"/>
              </w:rPr>
              <w:t>, m</w:t>
            </w:r>
            <w:r w:rsidRPr="005B6A4F">
              <w:rPr>
                <w:i/>
                <w:color w:val="000000"/>
                <w:sz w:val="22"/>
                <w:szCs w:val="22"/>
              </w:rPr>
              <w:t xml:space="preserve">easure days that the individual was not </w:t>
            </w:r>
            <w:r>
              <w:rPr>
                <w:i/>
                <w:color w:val="000000"/>
                <w:sz w:val="22"/>
                <w:szCs w:val="22"/>
              </w:rPr>
              <w:t>arrested and compare to a period prior to assessment at the CRS.</w:t>
            </w:r>
          </w:p>
          <w:p w14:paraId="3DF4A4D4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</w:p>
        </w:tc>
      </w:tr>
      <w:tr w:rsidR="000D4B0E" w:rsidRPr="000E6DA6" w14:paraId="17EA95BF" w14:textId="77777777" w:rsidTr="007616A1">
        <w:trPr>
          <w:trHeight w:val="312"/>
          <w:jc w:val="center"/>
        </w:trPr>
        <w:tc>
          <w:tcPr>
            <w:tcW w:w="227" w:type="pct"/>
            <w:shd w:val="clear" w:color="auto" w:fill="auto"/>
          </w:tcPr>
          <w:p w14:paraId="38110C75" w14:textId="77777777" w:rsidR="000D4B0E" w:rsidRPr="000E6DA6" w:rsidRDefault="000D4B0E" w:rsidP="007616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4773" w:type="pct"/>
            <w:shd w:val="clear" w:color="auto" w:fill="auto"/>
          </w:tcPr>
          <w:p w14:paraId="0117A52C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Increase days in community between crisis or emergency room admissions.</w:t>
            </w:r>
          </w:p>
          <w:p w14:paraId="03283319" w14:textId="77777777" w:rsidR="000D4B0E" w:rsidRDefault="000D4B0E" w:rsidP="007616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</w:p>
          <w:p w14:paraId="383CFCB5" w14:textId="77777777" w:rsidR="000D4B0E" w:rsidRPr="00AD2065" w:rsidRDefault="000D4B0E" w:rsidP="007616A1">
            <w:pPr>
              <w:ind w:left="72"/>
              <w:rPr>
                <w:i/>
                <w:color w:val="000000"/>
                <w:sz w:val="22"/>
                <w:szCs w:val="22"/>
              </w:rPr>
            </w:pPr>
            <w:r w:rsidRPr="00AD2065">
              <w:rPr>
                <w:i/>
                <w:color w:val="000000"/>
                <w:sz w:val="22"/>
                <w:szCs w:val="22"/>
              </w:rPr>
              <w:t xml:space="preserve">Measure days that the individual was not hospitalized or placed in a more restrictive environment </w:t>
            </w:r>
            <w:r>
              <w:rPr>
                <w:i/>
                <w:color w:val="000000"/>
                <w:sz w:val="22"/>
                <w:szCs w:val="22"/>
              </w:rPr>
              <w:t>and compare to a period prior to assessment at the CRS</w:t>
            </w:r>
            <w:r w:rsidRPr="00AD2065">
              <w:rPr>
                <w:i/>
                <w:color w:val="000000"/>
                <w:sz w:val="22"/>
                <w:szCs w:val="22"/>
              </w:rPr>
              <w:t>.</w:t>
            </w:r>
          </w:p>
          <w:p w14:paraId="16B77AB1" w14:textId="77777777" w:rsidR="000D4B0E" w:rsidRPr="000E6DA6" w:rsidRDefault="000D4B0E" w:rsidP="007616A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D7F71C4" w14:textId="77777777" w:rsidR="000D4B0E" w:rsidRPr="000E6DA6" w:rsidRDefault="000D4B0E" w:rsidP="000D4B0E">
      <w:pPr>
        <w:widowControl/>
        <w:rPr>
          <w:sz w:val="22"/>
          <w:szCs w:val="22"/>
        </w:rPr>
      </w:pPr>
    </w:p>
    <w:p w14:paraId="26A42571" w14:textId="77777777" w:rsidR="00EF5392" w:rsidRPr="000D4B0E" w:rsidRDefault="00EF5392" w:rsidP="000D4B0E"/>
    <w:sectPr w:rsidR="00EF5392" w:rsidRPr="000D4B0E" w:rsidSect="000D4B0E">
      <w:headerReference w:type="default" r:id="rId8"/>
      <w:footerReference w:type="default" r:id="rId9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06A63F0E" w14:textId="77777777" w:rsidR="00E50812" w:rsidRDefault="000D4B0E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Osceola Mental Health, Inc. d/b/a</w:t>
          </w:r>
        </w:p>
        <w:p w14:paraId="19851A7F" w14:textId="68E755A6" w:rsidR="000D4B0E" w:rsidRPr="00E50812" w:rsidRDefault="000D4B0E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Park Place Behavioral Health Care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143F06CE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D4B0E">
            <w:rPr>
              <w:rFonts w:ascii="Times New Roman" w:hAnsi="Times New Roman" w:cs="Times New Roman"/>
              <w:sz w:val="20"/>
              <w:szCs w:val="20"/>
            </w:rPr>
            <w:t>#PPC26</w:t>
          </w:r>
          <w:r w:rsidR="00E50812" w:rsidRPr="00E5081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4B0E"/>
    <w:rsid w:val="000D5053"/>
    <w:rsid w:val="000E6DA6"/>
    <w:rsid w:val="00111686"/>
    <w:rsid w:val="00127B22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11EAB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55AE-7CF2-41BC-972E-3F9376F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2021-06-08T16:23:00Z</dcterms:modified>
</cp:coreProperties>
</file>