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EE51" w14:textId="3C715C5B" w:rsidR="00B45EFF" w:rsidRPr="000E6DA6" w:rsidRDefault="00B45EFF" w:rsidP="00385B88">
      <w:pPr>
        <w:widowControl/>
        <w:ind w:left="720"/>
        <w:jc w:val="both"/>
        <w:rPr>
          <w:sz w:val="22"/>
          <w:szCs w:val="22"/>
        </w:rPr>
      </w:pPr>
      <w:r w:rsidRPr="000E6DA6">
        <w:rPr>
          <w:b/>
          <w:bCs/>
          <w:sz w:val="22"/>
          <w:szCs w:val="22"/>
        </w:rPr>
        <w:t xml:space="preserve">A. </w:t>
      </w:r>
      <w:r w:rsidR="00280D96" w:rsidRPr="000E6DA6">
        <w:rPr>
          <w:b/>
          <w:bCs/>
          <w:sz w:val="22"/>
          <w:szCs w:val="22"/>
        </w:rPr>
        <w:t>Target Population</w:t>
      </w:r>
    </w:p>
    <w:p w14:paraId="4B8070CB" w14:textId="77777777" w:rsidR="00B45EFF" w:rsidRPr="000E6DA6" w:rsidRDefault="00B45EFF" w:rsidP="00385B88">
      <w:pPr>
        <w:widowControl/>
        <w:ind w:left="720"/>
        <w:jc w:val="both"/>
        <w:rPr>
          <w:b/>
          <w:bCs/>
          <w:sz w:val="22"/>
          <w:szCs w:val="22"/>
        </w:rPr>
      </w:pPr>
    </w:p>
    <w:p w14:paraId="1973EDA5" w14:textId="4A9CDD82" w:rsidR="00B45EFF" w:rsidRPr="000E6DA6" w:rsidRDefault="00476F88" w:rsidP="00385B88">
      <w:pPr>
        <w:widowControl/>
        <w:ind w:left="720"/>
        <w:jc w:val="both"/>
        <w:rPr>
          <w:color w:val="000000"/>
          <w:sz w:val="22"/>
          <w:szCs w:val="22"/>
        </w:rPr>
      </w:pPr>
      <w:r w:rsidRPr="000E6DA6">
        <w:rPr>
          <w:sz w:val="22"/>
          <w:szCs w:val="22"/>
        </w:rPr>
        <w:t xml:space="preserve">To be eligible to receive substance abuse and mental health services funded by this subcontract, an individual must be a member of at least one of the </w:t>
      </w:r>
      <w:r w:rsidR="00280D96" w:rsidRPr="000E6DA6">
        <w:rPr>
          <w:sz w:val="22"/>
          <w:szCs w:val="22"/>
        </w:rPr>
        <w:t>target</w:t>
      </w:r>
      <w:r w:rsidRPr="000E6DA6">
        <w:rPr>
          <w:sz w:val="22"/>
          <w:szCs w:val="22"/>
        </w:rPr>
        <w:t xml:space="preserve"> populations approved by the Legislature. </w:t>
      </w:r>
      <w:r w:rsidR="00280D96" w:rsidRPr="000E6DA6">
        <w:rPr>
          <w:sz w:val="22"/>
          <w:szCs w:val="22"/>
        </w:rPr>
        <w:t xml:space="preserve">The Subcontractor agrees that funds provided in this contract will not be used to serve persons outside the target population(s) specified in the table </w:t>
      </w:r>
      <w:r w:rsidRPr="000E6DA6">
        <w:rPr>
          <w:sz w:val="22"/>
          <w:szCs w:val="22"/>
        </w:rPr>
        <w:t>below:</w:t>
      </w:r>
    </w:p>
    <w:p w14:paraId="0F709AE0" w14:textId="535E33D9" w:rsidR="00B45EFF" w:rsidRDefault="00B45EFF" w:rsidP="00832C35">
      <w:pPr>
        <w:widowControl/>
        <w:ind w:left="720"/>
        <w:rPr>
          <w:color w:val="000000"/>
          <w:sz w:val="22"/>
          <w:szCs w:val="22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5815"/>
        <w:gridCol w:w="2521"/>
      </w:tblGrid>
      <w:tr w:rsidR="00286E5E" w:rsidRPr="000E5DF6" w14:paraId="35ACFB24" w14:textId="77777777" w:rsidTr="00286E5E">
        <w:trPr>
          <w:jc w:val="center"/>
        </w:trPr>
        <w:tc>
          <w:tcPr>
            <w:tcW w:w="0" w:type="auto"/>
            <w:gridSpan w:val="3"/>
            <w:shd w:val="clear" w:color="auto" w:fill="B8CCE4" w:themeFill="accent1" w:themeFillTint="66"/>
            <w:vAlign w:val="center"/>
          </w:tcPr>
          <w:p w14:paraId="5E9C8526" w14:textId="43A45188" w:rsidR="00286E5E" w:rsidRPr="000E5DF6" w:rsidRDefault="00286E5E" w:rsidP="00B01D47">
            <w:pPr>
              <w:spacing w:before="120" w:after="120"/>
              <w:jc w:val="center"/>
              <w:rPr>
                <w:b/>
                <w:color w:val="000000"/>
              </w:rPr>
            </w:pPr>
            <w:r w:rsidRPr="000E5DF6">
              <w:br w:type="page"/>
            </w:r>
            <w:r w:rsidRPr="000E5DF6">
              <w:rPr>
                <w:b/>
                <w:color w:val="000000"/>
              </w:rPr>
              <w:t>Network Service Provider Output Measures – Persons Served</w:t>
            </w:r>
          </w:p>
        </w:tc>
      </w:tr>
      <w:tr w:rsidR="00286E5E" w:rsidRPr="000E5DF6" w14:paraId="68113B95" w14:textId="77777777" w:rsidTr="000E5DF6">
        <w:trPr>
          <w:trHeight w:val="251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82B62FA" w14:textId="77777777" w:rsidR="00286E5E" w:rsidRPr="000E5DF6" w:rsidRDefault="00286E5E" w:rsidP="000E5DF6">
            <w:pPr>
              <w:spacing w:before="120" w:after="12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E5DF6">
              <w:rPr>
                <w:b/>
                <w:color w:val="000000"/>
                <w:sz w:val="20"/>
                <w:szCs w:val="20"/>
              </w:rPr>
              <w:t>Annual Persons Served Targets – Unduplicated Individuals Served</w:t>
            </w:r>
          </w:p>
          <w:p w14:paraId="4540F559" w14:textId="2B144065" w:rsidR="00286E5E" w:rsidRPr="000E5DF6" w:rsidRDefault="00286E5E" w:rsidP="00B01D47">
            <w:pPr>
              <w:spacing w:before="120" w:after="120"/>
              <w:contextualSpacing/>
              <w:rPr>
                <w:color w:val="000000"/>
              </w:rPr>
            </w:pPr>
          </w:p>
        </w:tc>
      </w:tr>
      <w:tr w:rsidR="00286E5E" w:rsidRPr="000E5DF6" w14:paraId="3D94EB16" w14:textId="77777777" w:rsidTr="00286E5E">
        <w:trPr>
          <w:jc w:val="center"/>
        </w:trPr>
        <w:tc>
          <w:tcPr>
            <w:tcW w:w="0" w:type="auto"/>
            <w:gridSpan w:val="2"/>
            <w:shd w:val="clear" w:color="auto" w:fill="DBE5F1" w:themeFill="accent1" w:themeFillTint="33"/>
            <w:vAlign w:val="center"/>
            <w:hideMark/>
          </w:tcPr>
          <w:p w14:paraId="7827C4AD" w14:textId="77777777" w:rsidR="00286E5E" w:rsidRPr="000E5DF6" w:rsidRDefault="00286E5E" w:rsidP="00B01D47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E5DF6">
              <w:rPr>
                <w:b/>
                <w:color w:val="000000"/>
                <w:sz w:val="20"/>
                <w:szCs w:val="20"/>
              </w:rPr>
              <w:t>Service Category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14:paraId="28B1233A" w14:textId="77777777" w:rsidR="00286E5E" w:rsidRPr="000E5DF6" w:rsidRDefault="00286E5E" w:rsidP="00B01D47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E5DF6">
              <w:rPr>
                <w:b/>
                <w:color w:val="000000"/>
                <w:sz w:val="20"/>
                <w:szCs w:val="20"/>
              </w:rPr>
              <w:t>FY Target</w:t>
            </w:r>
          </w:p>
        </w:tc>
      </w:tr>
      <w:tr w:rsidR="00286E5E" w:rsidRPr="000E5DF6" w14:paraId="6289EEA6" w14:textId="77777777" w:rsidTr="000E5DF6">
        <w:trPr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50B8E33" w14:textId="77777777" w:rsidR="00286E5E" w:rsidRPr="000E5DF6" w:rsidRDefault="00286E5E" w:rsidP="00B01D47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E5DF6">
              <w:rPr>
                <w:b/>
                <w:color w:val="000000"/>
                <w:sz w:val="20"/>
                <w:szCs w:val="20"/>
              </w:rPr>
              <w:t xml:space="preserve">Adult Mental Health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B00E2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Residential Care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DCD71" w14:textId="06E56D64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  <w:tr w:rsidR="00286E5E" w:rsidRPr="000E5DF6" w14:paraId="38C8A4BA" w14:textId="77777777" w:rsidTr="000E5DF6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0953C35" w14:textId="77777777" w:rsidR="00286E5E" w:rsidRPr="000E5DF6" w:rsidRDefault="00286E5E" w:rsidP="00B01D47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3984A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Outpatient Care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64352" w14:textId="5A7B4481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4AC4E507" w14:textId="77777777" w:rsidTr="000E5DF6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4644C37" w14:textId="77777777" w:rsidR="00286E5E" w:rsidRPr="000E5DF6" w:rsidRDefault="00286E5E" w:rsidP="00B01D47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C88E3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Crisis Care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C3B11" w14:textId="7BE8B603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4E8FA859" w14:textId="77777777" w:rsidTr="000E5DF6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E931F3F" w14:textId="77777777" w:rsidR="00286E5E" w:rsidRPr="000E5DF6" w:rsidRDefault="00286E5E" w:rsidP="00B01D47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2AEB1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State Hospital Discharges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B169" w14:textId="08123FC7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376E35E4" w14:textId="77777777" w:rsidTr="000E5DF6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83A3193" w14:textId="77777777" w:rsidR="00286E5E" w:rsidRPr="000E5DF6" w:rsidRDefault="00286E5E" w:rsidP="00B01D47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8CCD09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Peer Support Services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2BD32" w14:textId="5F162B95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6E02CCBD" w14:textId="77777777" w:rsidTr="000E5DF6">
        <w:trPr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A1648F7" w14:textId="77777777" w:rsidR="00286E5E" w:rsidRPr="000E5DF6" w:rsidRDefault="00286E5E" w:rsidP="00B01D47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E5DF6">
              <w:rPr>
                <w:b/>
                <w:color w:val="000000"/>
                <w:sz w:val="20"/>
                <w:szCs w:val="20"/>
              </w:rPr>
              <w:t>Children's Mental Health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9FD1A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Residential Care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FB254" w14:textId="37960DCA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41F3E8C9" w14:textId="77777777" w:rsidTr="000E5DF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75620C" w14:textId="77777777" w:rsidR="00286E5E" w:rsidRPr="000E5DF6" w:rsidRDefault="00286E5E" w:rsidP="00B01D47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F5C12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Outpatient Care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C062B" w14:textId="4D82CBF1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5D560EE7" w14:textId="77777777" w:rsidTr="000E5DF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3639AA" w14:textId="77777777" w:rsidR="00286E5E" w:rsidRPr="000E5DF6" w:rsidRDefault="00286E5E" w:rsidP="00B01D47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F1602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Crisis Care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C301C" w14:textId="7DB166C6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2AC53A2B" w14:textId="77777777" w:rsidTr="000E5DF6">
        <w:trPr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49868AD6" w14:textId="77777777" w:rsidR="00286E5E" w:rsidRPr="000E5DF6" w:rsidRDefault="00286E5E" w:rsidP="00B01D4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E5DF6">
              <w:rPr>
                <w:b/>
                <w:sz w:val="20"/>
                <w:szCs w:val="20"/>
              </w:rPr>
              <w:t>Adult Substance Abuse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90231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Residential Care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25F276" w14:textId="2DFB2214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718375EC" w14:textId="77777777" w:rsidTr="000E5DF6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B555451" w14:textId="77777777" w:rsidR="00286E5E" w:rsidRPr="000E5DF6" w:rsidRDefault="00286E5E" w:rsidP="00B01D4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09951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Outpatient Care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5695DD" w14:textId="205E5F93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06548839" w14:textId="77777777" w:rsidTr="000E5DF6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B4FD977" w14:textId="77777777" w:rsidR="00286E5E" w:rsidRPr="000E5DF6" w:rsidRDefault="00286E5E" w:rsidP="00B01D4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69874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Detoxification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3550A" w14:textId="202FBBFF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64C096D8" w14:textId="77777777" w:rsidTr="000E5DF6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3FAB82A" w14:textId="77777777" w:rsidR="00286E5E" w:rsidRPr="000E5DF6" w:rsidRDefault="00286E5E" w:rsidP="00B01D4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80BB4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Women’s Specific Services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6600B0" w14:textId="0A86C1B8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765E1132" w14:textId="77777777" w:rsidTr="000E5DF6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B67D67C" w14:textId="77777777" w:rsidR="00286E5E" w:rsidRPr="000E5DF6" w:rsidRDefault="00286E5E" w:rsidP="00B01D4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C30DB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Injecting Drug Users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B2B49" w14:textId="66B86662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139CD83F" w14:textId="77777777" w:rsidTr="00286E5E">
        <w:trPr>
          <w:jc w:val="center"/>
        </w:trPr>
        <w:tc>
          <w:tcPr>
            <w:tcW w:w="0" w:type="auto"/>
            <w:vMerge/>
            <w:vAlign w:val="center"/>
          </w:tcPr>
          <w:p w14:paraId="11C6A29A" w14:textId="77777777" w:rsidR="00286E5E" w:rsidRPr="000E5DF6" w:rsidRDefault="00286E5E" w:rsidP="00B01D4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58B61B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Peer Support Services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4EDA36" w14:textId="2C833D70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30DF12D9" w14:textId="77777777" w:rsidTr="00286E5E">
        <w:trPr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0320964C" w14:textId="77777777" w:rsidR="00286E5E" w:rsidRPr="000E5DF6" w:rsidRDefault="00286E5E" w:rsidP="00B01D47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E5DF6">
              <w:rPr>
                <w:b/>
                <w:color w:val="000000"/>
                <w:sz w:val="20"/>
                <w:szCs w:val="20"/>
              </w:rPr>
              <w:t>Children's Substance Abuse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297EF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Residential Care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FB79C0" w14:textId="336F2EC0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795D0E77" w14:textId="77777777" w:rsidTr="00286E5E">
        <w:trPr>
          <w:jc w:val="center"/>
        </w:trPr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78E2E406" w14:textId="77777777" w:rsidR="00286E5E" w:rsidRPr="000E5DF6" w:rsidRDefault="00286E5E" w:rsidP="00B01D47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52A82D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Outpatient Care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0A92B4" w14:textId="7BA827BE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55354A25" w14:textId="77777777" w:rsidTr="00286E5E">
        <w:trPr>
          <w:jc w:val="center"/>
        </w:trPr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0200EE95" w14:textId="77777777" w:rsidR="00286E5E" w:rsidRPr="000E5DF6" w:rsidRDefault="00286E5E" w:rsidP="00B01D47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CD8DA3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Detoxification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BF9950" w14:textId="0EEDA4BC" w:rsidR="00286E5E" w:rsidRPr="000E5DF6" w:rsidRDefault="00E515FE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286E5E" w:rsidRPr="000E5DF6" w14:paraId="76FE0F9E" w14:textId="77777777" w:rsidTr="00286E5E">
        <w:trPr>
          <w:jc w:val="center"/>
        </w:trPr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786A445B" w14:textId="77777777" w:rsidR="00286E5E" w:rsidRPr="000E5DF6" w:rsidRDefault="00286E5E" w:rsidP="00B01D47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CD4BE0" w14:textId="77777777" w:rsidR="00286E5E" w:rsidRPr="000E5DF6" w:rsidRDefault="00286E5E" w:rsidP="00B01D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Prevention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E48ABF" w14:textId="51626894" w:rsidR="00286E5E" w:rsidRPr="000E5DF6" w:rsidRDefault="00EB0A1D" w:rsidP="00B01D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</w:tbl>
    <w:p w14:paraId="5FF7E824" w14:textId="4491A4E3" w:rsidR="00286E5E" w:rsidRDefault="00286E5E" w:rsidP="00832C35">
      <w:pPr>
        <w:widowControl/>
        <w:ind w:left="720"/>
        <w:rPr>
          <w:color w:val="000000"/>
          <w:sz w:val="22"/>
          <w:szCs w:val="22"/>
        </w:rPr>
      </w:pPr>
    </w:p>
    <w:p w14:paraId="226F8351" w14:textId="2B0D6EA7" w:rsidR="00286E5E" w:rsidRDefault="00286E5E" w:rsidP="00832C35">
      <w:pPr>
        <w:widowControl/>
        <w:ind w:left="720"/>
        <w:rPr>
          <w:color w:val="000000"/>
          <w:sz w:val="22"/>
          <w:szCs w:val="22"/>
        </w:rPr>
      </w:pPr>
    </w:p>
    <w:p w14:paraId="3D5AC74C" w14:textId="77777777" w:rsidR="00286E5E" w:rsidRDefault="00286E5E" w:rsidP="00832C35">
      <w:pPr>
        <w:widowControl/>
        <w:ind w:left="720"/>
        <w:rPr>
          <w:color w:val="000000"/>
          <w:sz w:val="22"/>
          <w:szCs w:val="22"/>
        </w:rPr>
      </w:pPr>
    </w:p>
    <w:p w14:paraId="6F3077C4" w14:textId="77777777" w:rsidR="00CE0EDB" w:rsidRPr="000E6DA6" w:rsidRDefault="00CE0EDB" w:rsidP="000B16D5">
      <w:pPr>
        <w:widowControl/>
        <w:rPr>
          <w:color w:val="000000"/>
          <w:sz w:val="22"/>
          <w:szCs w:val="22"/>
        </w:rPr>
      </w:pPr>
    </w:p>
    <w:p w14:paraId="79C802D0" w14:textId="77777777" w:rsidR="00B45EFF" w:rsidRPr="000E6DA6" w:rsidRDefault="00B45EFF" w:rsidP="00385B88">
      <w:pPr>
        <w:widowControl/>
        <w:ind w:left="1440"/>
        <w:jc w:val="both"/>
        <w:rPr>
          <w:b/>
          <w:bCs/>
          <w:color w:val="000000"/>
          <w:sz w:val="22"/>
          <w:szCs w:val="22"/>
        </w:rPr>
      </w:pPr>
    </w:p>
    <w:p w14:paraId="12A28894" w14:textId="06210388" w:rsidR="00B45EFF" w:rsidRPr="000E6DA6" w:rsidRDefault="00B45EFF" w:rsidP="00385B8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B. Client/Participant Determination</w:t>
      </w:r>
    </w:p>
    <w:p w14:paraId="3ABAB5A4" w14:textId="77777777" w:rsidR="005B7599" w:rsidRDefault="005B7599" w:rsidP="005B7599">
      <w:pPr>
        <w:widowControl/>
        <w:jc w:val="both"/>
        <w:rPr>
          <w:color w:val="000000"/>
          <w:sz w:val="22"/>
          <w:szCs w:val="22"/>
        </w:rPr>
      </w:pPr>
    </w:p>
    <w:p w14:paraId="3E2C4A2D" w14:textId="42D669CE" w:rsidR="00B45EFF" w:rsidRPr="000E6DA6" w:rsidRDefault="00B45EFF" w:rsidP="005B7599">
      <w:pPr>
        <w:widowControl/>
        <w:ind w:firstLine="720"/>
        <w:jc w:val="both"/>
        <w:rPr>
          <w:color w:val="000000"/>
          <w:sz w:val="22"/>
          <w:szCs w:val="22"/>
        </w:rPr>
      </w:pPr>
      <w:r w:rsidRPr="000E6DA6">
        <w:rPr>
          <w:color w:val="000000"/>
          <w:sz w:val="22"/>
          <w:szCs w:val="22"/>
        </w:rPr>
        <w:t xml:space="preserve">Determination of client eligibility is exclusively the responsibility of the </w:t>
      </w:r>
      <w:r w:rsidR="0025492E" w:rsidRPr="000E6DA6">
        <w:rPr>
          <w:color w:val="000000"/>
          <w:sz w:val="22"/>
          <w:szCs w:val="22"/>
        </w:rPr>
        <w:t>S</w:t>
      </w:r>
      <w:r w:rsidR="00B62A83" w:rsidRPr="000E6DA6">
        <w:rPr>
          <w:color w:val="000000"/>
          <w:sz w:val="22"/>
          <w:szCs w:val="22"/>
        </w:rPr>
        <w:t>ubcontractor</w:t>
      </w:r>
      <w:r w:rsidRPr="000E6DA6">
        <w:rPr>
          <w:color w:val="000000"/>
          <w:sz w:val="22"/>
          <w:szCs w:val="22"/>
        </w:rPr>
        <w:t xml:space="preserve">.  </w:t>
      </w:r>
    </w:p>
    <w:p w14:paraId="44267518" w14:textId="77777777" w:rsidR="00B45EFF" w:rsidRPr="000E6DA6" w:rsidRDefault="00B45EFF" w:rsidP="00385B88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65B85E71" w14:textId="5FBA62C7" w:rsidR="00280D96" w:rsidRPr="000E6DA6" w:rsidRDefault="00280D96" w:rsidP="00280D96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C. Performance Measures</w:t>
      </w:r>
    </w:p>
    <w:p w14:paraId="1183B32B" w14:textId="77777777" w:rsidR="00B45EFF" w:rsidRPr="000E6DA6" w:rsidRDefault="00B45EFF" w:rsidP="00385B88">
      <w:pPr>
        <w:widowControl/>
        <w:ind w:left="2160"/>
        <w:jc w:val="both"/>
        <w:rPr>
          <w:color w:val="000000"/>
          <w:sz w:val="22"/>
          <w:szCs w:val="22"/>
        </w:rPr>
      </w:pPr>
    </w:p>
    <w:p w14:paraId="042D8F3A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 xml:space="preserve">For more information regarding a measure, refer to the DCF Performance Outcomes Measurement Manual at the following link: </w:t>
      </w:r>
      <w:hyperlink r:id="rId11" w:history="1">
        <w:r w:rsidRPr="005B7599">
          <w:rPr>
            <w:rStyle w:val="Hyperlink"/>
            <w:sz w:val="22"/>
            <w:szCs w:val="22"/>
          </w:rPr>
          <w:t>http://www.dcf.state.fl.us/programs/samh/ME/2014/IncDocs/Incorporated%20Document%2019%20-%20Performance%20Outcomes%20Measurement%20Manual.docx</w:t>
        </w:r>
      </w:hyperlink>
    </w:p>
    <w:p w14:paraId="62DC48A2" w14:textId="77777777" w:rsidR="00280D96" w:rsidRPr="000E6DA6" w:rsidRDefault="00280D96" w:rsidP="00280D96">
      <w:pPr>
        <w:rPr>
          <w:i/>
          <w:sz w:val="22"/>
          <w:szCs w:val="22"/>
        </w:rPr>
      </w:pPr>
    </w:p>
    <w:p w14:paraId="37DB6145" w14:textId="2494D703" w:rsidR="00280D96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>Number to be served includes persons whose services will be paid for in whole or in part by CFCHS funding or local match only.  DO NOT include Medicaid funded services.</w:t>
      </w:r>
    </w:p>
    <w:p w14:paraId="7D0952DF" w14:textId="69BD2B79" w:rsidR="000E5DF6" w:rsidRDefault="000E5DF6" w:rsidP="005B7599">
      <w:pPr>
        <w:ind w:left="720"/>
        <w:rPr>
          <w:sz w:val="22"/>
          <w:szCs w:val="22"/>
        </w:rPr>
      </w:pPr>
    </w:p>
    <w:p w14:paraId="1939A18B" w14:textId="52F70A24" w:rsidR="000E5DF6" w:rsidRDefault="000E5DF6" w:rsidP="005B7599">
      <w:pPr>
        <w:ind w:left="720"/>
        <w:rPr>
          <w:sz w:val="22"/>
          <w:szCs w:val="22"/>
        </w:rPr>
      </w:pP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6925"/>
        <w:gridCol w:w="2250"/>
      </w:tblGrid>
      <w:tr w:rsidR="000E5DF6" w:rsidRPr="000E5DF6" w14:paraId="36248F19" w14:textId="77777777" w:rsidTr="00B01D47">
        <w:trPr>
          <w:cantSplit/>
          <w:tblHeader/>
          <w:jc w:val="center"/>
        </w:trPr>
        <w:tc>
          <w:tcPr>
            <w:tcW w:w="6925" w:type="dxa"/>
            <w:shd w:val="clear" w:color="auto" w:fill="C6D9F1" w:themeFill="text2" w:themeFillTint="33"/>
            <w:vAlign w:val="center"/>
          </w:tcPr>
          <w:p w14:paraId="5D43E26B" w14:textId="77777777" w:rsidR="000E5DF6" w:rsidRPr="000E5DF6" w:rsidRDefault="000E5DF6" w:rsidP="00B01D47">
            <w:pPr>
              <w:jc w:val="center"/>
              <w:rPr>
                <w:b/>
                <w:sz w:val="20"/>
                <w:szCs w:val="20"/>
              </w:rPr>
            </w:pPr>
            <w:r w:rsidRPr="000E5DF6">
              <w:rPr>
                <w:b/>
                <w:sz w:val="20"/>
                <w:szCs w:val="20"/>
              </w:rPr>
              <w:t>Network Service Provider Performance Measures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14:paraId="105208B4" w14:textId="77777777" w:rsidR="000E5DF6" w:rsidRPr="000E5DF6" w:rsidRDefault="000E5DF6" w:rsidP="00B01D47">
            <w:pPr>
              <w:jc w:val="center"/>
              <w:rPr>
                <w:b/>
                <w:sz w:val="20"/>
                <w:szCs w:val="20"/>
              </w:rPr>
            </w:pPr>
            <w:r w:rsidRPr="000E5DF6">
              <w:rPr>
                <w:b/>
                <w:sz w:val="20"/>
                <w:szCs w:val="20"/>
              </w:rPr>
              <w:t>Annual Target</w:t>
            </w:r>
          </w:p>
        </w:tc>
      </w:tr>
      <w:tr w:rsidR="000E5DF6" w:rsidRPr="000E5DF6" w14:paraId="16E97B9A" w14:textId="77777777" w:rsidTr="00B01D47">
        <w:trPr>
          <w:cantSplit/>
          <w:jc w:val="center"/>
        </w:trPr>
        <w:tc>
          <w:tcPr>
            <w:tcW w:w="9175" w:type="dxa"/>
            <w:gridSpan w:val="2"/>
            <w:shd w:val="clear" w:color="auto" w:fill="DBE5F1" w:themeFill="accent1" w:themeFillTint="33"/>
          </w:tcPr>
          <w:p w14:paraId="33928448" w14:textId="77777777" w:rsidR="000E5DF6" w:rsidRPr="000E5DF6" w:rsidRDefault="000E5DF6" w:rsidP="00B01D47">
            <w:pPr>
              <w:rPr>
                <w:b/>
                <w:sz w:val="20"/>
                <w:szCs w:val="20"/>
              </w:rPr>
            </w:pPr>
            <w:r w:rsidRPr="000E5DF6">
              <w:rPr>
                <w:b/>
                <w:color w:val="000000"/>
                <w:sz w:val="20"/>
                <w:szCs w:val="20"/>
              </w:rPr>
              <w:t xml:space="preserve">Adult Community Mental Health                                                                                                                                                                               </w:t>
            </w:r>
          </w:p>
        </w:tc>
      </w:tr>
      <w:tr w:rsidR="000E5DF6" w:rsidRPr="000E5DF6" w14:paraId="20AEAEBC" w14:textId="77777777" w:rsidTr="00B01D47">
        <w:trPr>
          <w:cantSplit/>
          <w:jc w:val="center"/>
        </w:trPr>
        <w:tc>
          <w:tcPr>
            <w:tcW w:w="6925" w:type="dxa"/>
          </w:tcPr>
          <w:p w14:paraId="16377453" w14:textId="77777777" w:rsidR="000E5DF6" w:rsidRPr="000E5DF6" w:rsidRDefault="000E5DF6" w:rsidP="00B01D47">
            <w:pPr>
              <w:rPr>
                <w:b/>
                <w:sz w:val="20"/>
                <w:szCs w:val="20"/>
              </w:rPr>
            </w:pPr>
            <w:r w:rsidRPr="000E5DF6">
              <w:rPr>
                <w:color w:val="000000"/>
                <w:sz w:val="20"/>
                <w:szCs w:val="20"/>
              </w:rPr>
              <w:t xml:space="preserve">Average annual days worked for pay for adults with severe and persistent mental illness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8766286" w14:textId="77777777" w:rsidR="000E5DF6" w:rsidRPr="000E5DF6" w:rsidRDefault="000E5DF6" w:rsidP="00B01D47">
            <w:pPr>
              <w:contextualSpacing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40</w:t>
            </w:r>
          </w:p>
        </w:tc>
      </w:tr>
      <w:tr w:rsidR="000E5DF6" w:rsidRPr="000E5DF6" w14:paraId="27E4959C" w14:textId="77777777" w:rsidTr="00B01D47">
        <w:trPr>
          <w:cantSplit/>
          <w:jc w:val="center"/>
        </w:trPr>
        <w:tc>
          <w:tcPr>
            <w:tcW w:w="6925" w:type="dxa"/>
          </w:tcPr>
          <w:p w14:paraId="68722608" w14:textId="77777777" w:rsidR="000E5DF6" w:rsidRPr="000E5DF6" w:rsidRDefault="000E5DF6" w:rsidP="00B01D47">
            <w:pPr>
              <w:rPr>
                <w:b/>
                <w:sz w:val="20"/>
                <w:szCs w:val="20"/>
              </w:rPr>
            </w:pPr>
            <w:r w:rsidRPr="000E5DF6">
              <w:rPr>
                <w:color w:val="000000"/>
                <w:sz w:val="20"/>
                <w:szCs w:val="20"/>
              </w:rPr>
              <w:t xml:space="preserve">Percent of adults with serious mental illness who are competitively employed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29E289" w14:textId="77777777" w:rsidR="000E5DF6" w:rsidRPr="000E5DF6" w:rsidRDefault="000E5DF6" w:rsidP="00B01D47">
            <w:pPr>
              <w:contextualSpacing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24%</w:t>
            </w:r>
          </w:p>
        </w:tc>
      </w:tr>
      <w:tr w:rsidR="000E5DF6" w:rsidRPr="000E5DF6" w14:paraId="24C70FCA" w14:textId="77777777" w:rsidTr="00B01D47">
        <w:trPr>
          <w:cantSplit/>
          <w:jc w:val="center"/>
        </w:trPr>
        <w:tc>
          <w:tcPr>
            <w:tcW w:w="6925" w:type="dxa"/>
          </w:tcPr>
          <w:p w14:paraId="074C549F" w14:textId="77777777" w:rsidR="000E5DF6" w:rsidRPr="000E5DF6" w:rsidRDefault="000E5DF6" w:rsidP="00B01D47">
            <w:pPr>
              <w:rPr>
                <w:b/>
                <w:sz w:val="20"/>
                <w:szCs w:val="20"/>
              </w:rPr>
            </w:pPr>
            <w:r w:rsidRPr="000E5DF6">
              <w:rPr>
                <w:color w:val="000000"/>
                <w:sz w:val="20"/>
                <w:szCs w:val="20"/>
              </w:rPr>
              <w:t xml:space="preserve">Percent of adults with severe and persistent mental illnesses who live in stable housing environment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570E2A" w14:textId="77777777" w:rsidR="000E5DF6" w:rsidRPr="000E5DF6" w:rsidRDefault="000E5DF6" w:rsidP="00B01D47">
            <w:pPr>
              <w:contextualSpacing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90%</w:t>
            </w:r>
          </w:p>
        </w:tc>
      </w:tr>
      <w:tr w:rsidR="000E5DF6" w:rsidRPr="000E5DF6" w14:paraId="238AD5E4" w14:textId="77777777" w:rsidTr="00B01D47">
        <w:trPr>
          <w:cantSplit/>
          <w:jc w:val="center"/>
        </w:trPr>
        <w:tc>
          <w:tcPr>
            <w:tcW w:w="6925" w:type="dxa"/>
          </w:tcPr>
          <w:p w14:paraId="03B58A82" w14:textId="77777777" w:rsidR="000E5DF6" w:rsidRPr="000E5DF6" w:rsidRDefault="000E5DF6" w:rsidP="00B01D47">
            <w:pPr>
              <w:rPr>
                <w:b/>
                <w:sz w:val="20"/>
                <w:szCs w:val="20"/>
              </w:rPr>
            </w:pPr>
            <w:r w:rsidRPr="000E5DF6">
              <w:rPr>
                <w:color w:val="000000"/>
                <w:sz w:val="20"/>
                <w:szCs w:val="20"/>
              </w:rPr>
              <w:t>Percent of adults in forensic involvement who live in stable housing environment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68F53B3" w14:textId="77777777" w:rsidR="000E5DF6" w:rsidRPr="000E5DF6" w:rsidRDefault="000E5DF6" w:rsidP="00B01D47">
            <w:pPr>
              <w:contextualSpacing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67%</w:t>
            </w:r>
          </w:p>
        </w:tc>
      </w:tr>
      <w:tr w:rsidR="000E5DF6" w:rsidRPr="000E5DF6" w14:paraId="5E6F4469" w14:textId="77777777" w:rsidTr="00B01D47">
        <w:trPr>
          <w:cantSplit/>
          <w:jc w:val="center"/>
        </w:trPr>
        <w:tc>
          <w:tcPr>
            <w:tcW w:w="6925" w:type="dxa"/>
          </w:tcPr>
          <w:p w14:paraId="203C59D5" w14:textId="77777777" w:rsidR="000E5DF6" w:rsidRPr="000E5DF6" w:rsidRDefault="000E5DF6" w:rsidP="00B01D47">
            <w:pPr>
              <w:rPr>
                <w:b/>
                <w:sz w:val="20"/>
                <w:szCs w:val="20"/>
              </w:rPr>
            </w:pPr>
            <w:r w:rsidRPr="000E5DF6">
              <w:rPr>
                <w:color w:val="000000"/>
                <w:sz w:val="20"/>
                <w:szCs w:val="20"/>
              </w:rPr>
              <w:t xml:space="preserve">Percent of adults in mental health crisis who live in stable housing environment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64EF73A" w14:textId="77777777" w:rsidR="000E5DF6" w:rsidRPr="000E5DF6" w:rsidRDefault="000E5DF6" w:rsidP="00B01D47">
            <w:pPr>
              <w:contextualSpacing/>
              <w:jc w:val="center"/>
              <w:rPr>
                <w:sz w:val="20"/>
                <w:szCs w:val="20"/>
              </w:rPr>
            </w:pPr>
            <w:r w:rsidRPr="000E5DF6">
              <w:rPr>
                <w:sz w:val="20"/>
                <w:szCs w:val="20"/>
              </w:rPr>
              <w:t>86%</w:t>
            </w:r>
          </w:p>
        </w:tc>
      </w:tr>
    </w:tbl>
    <w:p w14:paraId="4D893A89" w14:textId="77777777" w:rsidR="00E515FE" w:rsidRDefault="00E515FE">
      <w:pPr>
        <w:widowControl/>
        <w:rPr>
          <w:sz w:val="22"/>
          <w:szCs w:val="22"/>
        </w:rPr>
      </w:pPr>
    </w:p>
    <w:sectPr w:rsidR="00E515FE" w:rsidSect="00EB0A1D">
      <w:headerReference w:type="default" r:id="rId12"/>
      <w:footerReference w:type="default" r:id="rId13"/>
      <w:pgSz w:w="12240" w:h="15840" w:code="1"/>
      <w:pgMar w:top="1008" w:right="907" w:bottom="1008" w:left="1440" w:header="720" w:footer="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71D4" w14:textId="77777777" w:rsidR="00246120" w:rsidRDefault="00246120">
      <w:r>
        <w:separator/>
      </w:r>
    </w:p>
  </w:endnote>
  <w:endnote w:type="continuationSeparator" w:id="0">
    <w:p w14:paraId="294083E0" w14:textId="77777777" w:rsidR="00246120" w:rsidRDefault="0024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50368" w:rsidRPr="00164583" w14:paraId="2256413F" w14:textId="77777777" w:rsidTr="000F0848">
      <w:tc>
        <w:tcPr>
          <w:tcW w:w="3192" w:type="dxa"/>
        </w:tcPr>
        <w:p w14:paraId="2F360547" w14:textId="7D3FD222" w:rsidR="00E50368" w:rsidRPr="00E50812" w:rsidRDefault="00E50368" w:rsidP="00E5036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>
            <w:rPr>
              <w:rFonts w:ascii="Times New Roman" w:hAnsi="Times New Roman" w:cs="Times New Roman"/>
              <w:sz w:val="20"/>
              <w:szCs w:val="20"/>
            </w:rPr>
            <w:t>5/19/2022</w:t>
          </w:r>
        </w:p>
      </w:tc>
      <w:tc>
        <w:tcPr>
          <w:tcW w:w="3192" w:type="dxa"/>
        </w:tcPr>
        <w:p w14:paraId="46753528" w14:textId="692400A6" w:rsidR="00E50368" w:rsidRPr="00A10AC1" w:rsidRDefault="00E50368" w:rsidP="00E5036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Pr="00A10A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10AC1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A10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Pr="00A10A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19851A7F" w14:textId="0B0CCDF0" w:rsidR="00E50368" w:rsidRPr="00164583" w:rsidRDefault="00E50368" w:rsidP="00E5036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164583">
            <w:rPr>
              <w:rFonts w:ascii="Times New Roman" w:hAnsi="Times New Roman" w:cs="Times New Roman"/>
              <w:sz w:val="20"/>
              <w:szCs w:val="20"/>
            </w:rPr>
            <w:t>Gulf Coast Jewish Family and Community Services, Inc.</w:t>
          </w:r>
        </w:p>
      </w:tc>
    </w:tr>
    <w:tr w:rsidR="00E50368" w:rsidRPr="00164583" w14:paraId="57C6218D" w14:textId="77777777" w:rsidTr="000F0848">
      <w:tc>
        <w:tcPr>
          <w:tcW w:w="3192" w:type="dxa"/>
        </w:tcPr>
        <w:p w14:paraId="6211CFD2" w14:textId="77777777" w:rsidR="00E50368" w:rsidRPr="00E50812" w:rsidRDefault="00E50368" w:rsidP="00E5036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E50368" w:rsidRPr="00E50812" w:rsidRDefault="00E50368" w:rsidP="00E5036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29FFDCCB" w14:textId="32946515" w:rsidR="00E50368" w:rsidRPr="00164583" w:rsidRDefault="00164583" w:rsidP="00E5036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  <w:lang w:val="fr-FR"/>
            </w:rPr>
            <w:t>Contract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  <w:lang w:val="fr-FR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  <w:lang w:val="fr-FR"/>
            </w:rPr>
            <w:t>#</w:t>
          </w:r>
          <w:r w:rsidR="00EB0A1D">
            <w:rPr>
              <w:rFonts w:ascii="Times New Roman" w:hAnsi="Times New Roman" w:cs="Times New Roman"/>
              <w:sz w:val="20"/>
              <w:szCs w:val="20"/>
              <w:lang w:val="fr-FR"/>
            </w:rPr>
            <w:t>:</w:t>
          </w:r>
          <w:proofErr w:type="gramEnd"/>
          <w:r w:rsidR="00EB0A1D">
            <w:rPr>
              <w:rFonts w:ascii="Times New Roman" w:hAnsi="Times New Roman" w:cs="Times New Roman"/>
              <w:sz w:val="20"/>
              <w:szCs w:val="20"/>
              <w:lang w:val="fr-FR"/>
            </w:rPr>
            <w:t xml:space="preserve"> </w:t>
          </w:r>
          <w:r w:rsidR="00E50368" w:rsidRPr="00164583">
            <w:rPr>
              <w:rFonts w:ascii="Times New Roman" w:hAnsi="Times New Roman" w:cs="Times New Roman"/>
              <w:sz w:val="20"/>
              <w:szCs w:val="20"/>
              <w:lang w:val="fr-FR"/>
            </w:rPr>
            <w:t xml:space="preserve">GCJ23 </w:t>
          </w:r>
          <w:r>
            <w:rPr>
              <w:rFonts w:ascii="Times New Roman" w:hAnsi="Times New Roman" w:cs="Times New Roman"/>
              <w:sz w:val="20"/>
              <w:szCs w:val="20"/>
              <w:lang w:val="fr-FR"/>
            </w:rPr>
            <w:t>A</w:t>
          </w:r>
          <w:r w:rsidR="00E50368" w:rsidRPr="00164583">
            <w:rPr>
              <w:rFonts w:ascii="Times New Roman" w:hAnsi="Times New Roman" w:cs="Times New Roman"/>
              <w:sz w:val="20"/>
              <w:szCs w:val="20"/>
              <w:lang w:val="fr-FR"/>
            </w:rPr>
            <w:t xml:space="preserve">4 </w:t>
          </w:r>
        </w:p>
      </w:tc>
    </w:tr>
  </w:tbl>
  <w:p w14:paraId="6701F4D6" w14:textId="77777777" w:rsidR="00B45EFF" w:rsidRPr="00952388" w:rsidRDefault="00B45EFF" w:rsidP="00E50368">
    <w:pPr>
      <w:pStyle w:val="Footer"/>
      <w:jc w:val="center"/>
      <w:rPr>
        <w:sz w:val="18"/>
        <w:szCs w:val="18"/>
      </w:rPr>
    </w:pPr>
  </w:p>
  <w:p w14:paraId="511AB50B" w14:textId="77777777" w:rsidR="00B45EFF" w:rsidRDefault="00B45EFF" w:rsidP="00E50368">
    <w:pPr>
      <w:pStyle w:val="Footer"/>
      <w:widowControl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78ED" w14:textId="77777777" w:rsidR="00246120" w:rsidRDefault="00246120">
      <w:r>
        <w:separator/>
      </w:r>
    </w:p>
  </w:footnote>
  <w:footnote w:type="continuationSeparator" w:id="0">
    <w:p w14:paraId="12029A37" w14:textId="77777777" w:rsidR="00246120" w:rsidRDefault="0024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F909E5"/>
    <w:multiLevelType w:val="hybridMultilevel"/>
    <w:tmpl w:val="307A2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895700">
    <w:abstractNumId w:val="4"/>
  </w:num>
  <w:num w:numId="2" w16cid:durableId="1624573720">
    <w:abstractNumId w:val="0"/>
  </w:num>
  <w:num w:numId="3" w16cid:durableId="576938433">
    <w:abstractNumId w:val="1"/>
  </w:num>
  <w:num w:numId="4" w16cid:durableId="1712076174">
    <w:abstractNumId w:val="5"/>
  </w:num>
  <w:num w:numId="5" w16cid:durableId="1957566431">
    <w:abstractNumId w:val="3"/>
  </w:num>
  <w:num w:numId="6" w16cid:durableId="1952778019">
    <w:abstractNumId w:val="2"/>
  </w:num>
  <w:num w:numId="7" w16cid:durableId="1208490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B16D5"/>
    <w:rsid w:val="000D5053"/>
    <w:rsid w:val="000E5DF6"/>
    <w:rsid w:val="000E6DA6"/>
    <w:rsid w:val="00111686"/>
    <w:rsid w:val="00127B22"/>
    <w:rsid w:val="00153F6A"/>
    <w:rsid w:val="00164045"/>
    <w:rsid w:val="00164583"/>
    <w:rsid w:val="00175C5F"/>
    <w:rsid w:val="001A380B"/>
    <w:rsid w:val="001C2735"/>
    <w:rsid w:val="001F6E66"/>
    <w:rsid w:val="002011E4"/>
    <w:rsid w:val="00216A73"/>
    <w:rsid w:val="00217FF7"/>
    <w:rsid w:val="002359A2"/>
    <w:rsid w:val="00245D9E"/>
    <w:rsid w:val="00246120"/>
    <w:rsid w:val="0025492E"/>
    <w:rsid w:val="00280D96"/>
    <w:rsid w:val="00286E5E"/>
    <w:rsid w:val="002A1BEE"/>
    <w:rsid w:val="002A533D"/>
    <w:rsid w:val="002A6CEA"/>
    <w:rsid w:val="002A7F6C"/>
    <w:rsid w:val="002B1C12"/>
    <w:rsid w:val="002D1237"/>
    <w:rsid w:val="002D77A6"/>
    <w:rsid w:val="002E26D6"/>
    <w:rsid w:val="00311473"/>
    <w:rsid w:val="00312399"/>
    <w:rsid w:val="003271E3"/>
    <w:rsid w:val="003371EF"/>
    <w:rsid w:val="00346134"/>
    <w:rsid w:val="00354EE5"/>
    <w:rsid w:val="00372D2C"/>
    <w:rsid w:val="00380738"/>
    <w:rsid w:val="003833C7"/>
    <w:rsid w:val="00385B88"/>
    <w:rsid w:val="003A5B9D"/>
    <w:rsid w:val="003B4CE1"/>
    <w:rsid w:val="003B6817"/>
    <w:rsid w:val="003B7DCD"/>
    <w:rsid w:val="003E0DE5"/>
    <w:rsid w:val="003E2FC7"/>
    <w:rsid w:val="003E60A5"/>
    <w:rsid w:val="003F2D91"/>
    <w:rsid w:val="003F7D71"/>
    <w:rsid w:val="00432F7E"/>
    <w:rsid w:val="004403FC"/>
    <w:rsid w:val="0045180B"/>
    <w:rsid w:val="004632FA"/>
    <w:rsid w:val="00476F88"/>
    <w:rsid w:val="004A769A"/>
    <w:rsid w:val="004D2213"/>
    <w:rsid w:val="004D4727"/>
    <w:rsid w:val="004D4D0F"/>
    <w:rsid w:val="004F20C4"/>
    <w:rsid w:val="0050283E"/>
    <w:rsid w:val="0052311B"/>
    <w:rsid w:val="005252D0"/>
    <w:rsid w:val="00536B98"/>
    <w:rsid w:val="00537FFA"/>
    <w:rsid w:val="00550512"/>
    <w:rsid w:val="005538D6"/>
    <w:rsid w:val="0056277E"/>
    <w:rsid w:val="00582B2D"/>
    <w:rsid w:val="00590F57"/>
    <w:rsid w:val="005B1962"/>
    <w:rsid w:val="005B30B2"/>
    <w:rsid w:val="005B3CB1"/>
    <w:rsid w:val="005B7599"/>
    <w:rsid w:val="005C3DAA"/>
    <w:rsid w:val="005C660D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721C3B"/>
    <w:rsid w:val="007256EB"/>
    <w:rsid w:val="007357E8"/>
    <w:rsid w:val="00740DF3"/>
    <w:rsid w:val="0077413F"/>
    <w:rsid w:val="00785DD3"/>
    <w:rsid w:val="00786D05"/>
    <w:rsid w:val="00797E0E"/>
    <w:rsid w:val="007A11C7"/>
    <w:rsid w:val="007A394D"/>
    <w:rsid w:val="007A47A7"/>
    <w:rsid w:val="007C4091"/>
    <w:rsid w:val="007F2470"/>
    <w:rsid w:val="00801881"/>
    <w:rsid w:val="008037E7"/>
    <w:rsid w:val="00805A63"/>
    <w:rsid w:val="00815F39"/>
    <w:rsid w:val="00832C35"/>
    <w:rsid w:val="00834B74"/>
    <w:rsid w:val="00834EBE"/>
    <w:rsid w:val="008352BE"/>
    <w:rsid w:val="00851DE8"/>
    <w:rsid w:val="00852BF5"/>
    <w:rsid w:val="00880C59"/>
    <w:rsid w:val="008866E9"/>
    <w:rsid w:val="008B65D3"/>
    <w:rsid w:val="008B6DEF"/>
    <w:rsid w:val="008D05C5"/>
    <w:rsid w:val="008E46FF"/>
    <w:rsid w:val="008E7103"/>
    <w:rsid w:val="008F6057"/>
    <w:rsid w:val="009065D9"/>
    <w:rsid w:val="009123BA"/>
    <w:rsid w:val="00947FCD"/>
    <w:rsid w:val="009515CA"/>
    <w:rsid w:val="00952388"/>
    <w:rsid w:val="0098133E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2B23"/>
    <w:rsid w:val="00AF3A0A"/>
    <w:rsid w:val="00B14546"/>
    <w:rsid w:val="00B25356"/>
    <w:rsid w:val="00B26296"/>
    <w:rsid w:val="00B31861"/>
    <w:rsid w:val="00B457B5"/>
    <w:rsid w:val="00B45EFF"/>
    <w:rsid w:val="00B53F4B"/>
    <w:rsid w:val="00B54242"/>
    <w:rsid w:val="00B62A83"/>
    <w:rsid w:val="00B76499"/>
    <w:rsid w:val="00B851AB"/>
    <w:rsid w:val="00B93DA5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5BE2"/>
    <w:rsid w:val="00C632D0"/>
    <w:rsid w:val="00C63319"/>
    <w:rsid w:val="00C75374"/>
    <w:rsid w:val="00C7558C"/>
    <w:rsid w:val="00C8697C"/>
    <w:rsid w:val="00C86EF9"/>
    <w:rsid w:val="00C86F10"/>
    <w:rsid w:val="00CB351D"/>
    <w:rsid w:val="00CB3721"/>
    <w:rsid w:val="00CB5154"/>
    <w:rsid w:val="00CC2F96"/>
    <w:rsid w:val="00CC47BB"/>
    <w:rsid w:val="00CC4F70"/>
    <w:rsid w:val="00CE0EDB"/>
    <w:rsid w:val="00CE45DE"/>
    <w:rsid w:val="00D1292C"/>
    <w:rsid w:val="00D57014"/>
    <w:rsid w:val="00D60163"/>
    <w:rsid w:val="00D713E1"/>
    <w:rsid w:val="00DC1D31"/>
    <w:rsid w:val="00DD1556"/>
    <w:rsid w:val="00DE0151"/>
    <w:rsid w:val="00DE4CCD"/>
    <w:rsid w:val="00DF36BD"/>
    <w:rsid w:val="00E00472"/>
    <w:rsid w:val="00E11398"/>
    <w:rsid w:val="00E50368"/>
    <w:rsid w:val="00E50812"/>
    <w:rsid w:val="00E515FE"/>
    <w:rsid w:val="00E53D42"/>
    <w:rsid w:val="00E84907"/>
    <w:rsid w:val="00E94BA2"/>
    <w:rsid w:val="00EB0A1D"/>
    <w:rsid w:val="00ED77D6"/>
    <w:rsid w:val="00EF4FA0"/>
    <w:rsid w:val="00EF5392"/>
    <w:rsid w:val="00F342A8"/>
    <w:rsid w:val="00F41196"/>
    <w:rsid w:val="00F76CAE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5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  <w:style w:type="table" w:customStyle="1" w:styleId="Style1">
    <w:name w:val="Style1"/>
    <w:basedOn w:val="TableWeb2"/>
    <w:uiPriority w:val="99"/>
    <w:rsid w:val="00CB372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B3721"/>
    <w:pPr>
      <w:widowControl w:val="0"/>
      <w:autoSpaceDE w:val="0"/>
      <w:autoSpaceDN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E0EDB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cf.state.fl.us/programs/samh/ME/2014/IncDocs/Incorporated%20Document%2019%20-%20Performance%20Outcomes%20Measurement%20Manual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2d1ec-c5b9-49bb-b4d6-9999f845f7de" xsi:nil="true"/>
    <lcf76f155ced4ddcb4097134ff3c332f xmlns="fe17dac3-f66a-4064-96d9-6e11a38baa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1C787B3F1C429BB459F26685C78E" ma:contentTypeVersion="11" ma:contentTypeDescription="Create a new document." ma:contentTypeScope="" ma:versionID="d7e9accccf7db0a5bb5de45861bd4ce4">
  <xsd:schema xmlns:xsd="http://www.w3.org/2001/XMLSchema" xmlns:xs="http://www.w3.org/2001/XMLSchema" xmlns:p="http://schemas.microsoft.com/office/2006/metadata/properties" xmlns:ns2="fe17dac3-f66a-4064-96d9-6e11a38baa64" xmlns:ns3="41d2d1ec-c5b9-49bb-b4d6-9999f845f7de" targetNamespace="http://schemas.microsoft.com/office/2006/metadata/properties" ma:root="true" ma:fieldsID="81f1d38f432ed448d78d7341d7ad9e2b" ns2:_="" ns3:_="">
    <xsd:import namespace="fe17dac3-f66a-4064-96d9-6e11a38baa64"/>
    <xsd:import namespace="41d2d1ec-c5b9-49bb-b4d6-9999f845f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dac3-f66a-4064-96d9-6e11a38ba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cbe6-395a-4b72-8c9b-080aece74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d1ec-c5b9-49bb-b4d6-9999f845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5fe7c31-ae52-4dfd-a973-69dbdee867e5}" ma:internalName="TaxCatchAll" ma:showField="CatchAllData" ma:web="41d2d1ec-c5b9-49bb-b4d6-9999f845f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5E57-5E5A-4A7A-879D-7E442421B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54D4D-431B-46AC-93C8-DF51FB110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0EC59-94C2-41FC-AB15-8DF0750A5987}"/>
</file>

<file path=customXml/itemProps4.xml><?xml version="1.0" encoding="utf-8"?>
<ds:datastoreItem xmlns:ds="http://schemas.openxmlformats.org/officeDocument/2006/customXml" ds:itemID="{547755AE-7CF2-41BC-972E-3F9376F8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2022-12-22T20:55:00Z</dcterms:created>
  <dcterms:modified xsi:type="dcterms:W3CDTF">2023-02-15T13:54:00Z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0x0101008F090166002CA04EA7F087C9287CCA9C</vt:lpwstr>
  </property>
  <property fmtid="{D5CDD505-2E9C-101B-9397-08002B2CF9AE}" pid="3" name="Order">
    <vt:r8>8948600</vt:r8>
  </property>
</Properties>
</file>