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EE51" w14:textId="3C715C5B" w:rsidR="00B45EFF" w:rsidRPr="000E6DA6" w:rsidRDefault="00B45EFF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 xml:space="preserve">A. </w:t>
      </w:r>
      <w:r w:rsidR="00280D96" w:rsidRPr="000E6DA6">
        <w:rPr>
          <w:b/>
          <w:bCs/>
          <w:sz w:val="22"/>
          <w:szCs w:val="22"/>
        </w:rPr>
        <w:t>Target Population</w:t>
      </w:r>
    </w:p>
    <w:p w14:paraId="4B8070CB" w14:textId="77777777" w:rsidR="00B45EFF" w:rsidRPr="000E6DA6" w:rsidRDefault="00B45EFF" w:rsidP="00385B88">
      <w:pPr>
        <w:widowControl/>
        <w:ind w:left="720"/>
        <w:jc w:val="both"/>
        <w:rPr>
          <w:b/>
          <w:bCs/>
          <w:sz w:val="22"/>
          <w:szCs w:val="22"/>
        </w:rPr>
      </w:pPr>
    </w:p>
    <w:p w14:paraId="1973EDA5" w14:textId="4A9CDD82" w:rsidR="00B45EFF" w:rsidRPr="000E6DA6" w:rsidRDefault="00476F88" w:rsidP="00385B88">
      <w:pPr>
        <w:widowControl/>
        <w:ind w:left="720"/>
        <w:jc w:val="both"/>
        <w:rPr>
          <w:color w:val="000000"/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</w:t>
      </w:r>
      <w:r w:rsidR="00280D96" w:rsidRPr="000E6DA6">
        <w:rPr>
          <w:sz w:val="22"/>
          <w:szCs w:val="22"/>
        </w:rPr>
        <w:t>target</w:t>
      </w:r>
      <w:r w:rsidRPr="000E6DA6">
        <w:rPr>
          <w:sz w:val="22"/>
          <w:szCs w:val="22"/>
        </w:rPr>
        <w:t xml:space="preserve"> populations approved by the Legislature. </w:t>
      </w:r>
      <w:r w:rsidR="00280D96" w:rsidRPr="000E6DA6">
        <w:rPr>
          <w:sz w:val="22"/>
          <w:szCs w:val="22"/>
        </w:rPr>
        <w:t xml:space="preserve">The Subcontractor agrees that funds provided in this contract will not be used to serve persons outside the target population(s) specified in the table </w:t>
      </w:r>
      <w:r w:rsidRPr="000E6DA6">
        <w:rPr>
          <w:sz w:val="22"/>
          <w:szCs w:val="22"/>
        </w:rPr>
        <w:t>below:</w:t>
      </w:r>
    </w:p>
    <w:p w14:paraId="0F709AE0" w14:textId="535E33D9" w:rsidR="00B45EFF" w:rsidRDefault="00B45EFF" w:rsidP="00832C35">
      <w:pPr>
        <w:widowControl/>
        <w:ind w:left="720"/>
        <w:rPr>
          <w:color w:val="000000"/>
          <w:sz w:val="22"/>
          <w:szCs w:val="2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876"/>
        <w:gridCol w:w="4590"/>
      </w:tblGrid>
      <w:tr w:rsidR="00286E5E" w:rsidRPr="000E5DF6" w14:paraId="35ACFB24" w14:textId="77777777" w:rsidTr="00866978">
        <w:trPr>
          <w:jc w:val="center"/>
        </w:trPr>
        <w:tc>
          <w:tcPr>
            <w:tcW w:w="10165" w:type="dxa"/>
            <w:gridSpan w:val="3"/>
            <w:shd w:val="clear" w:color="auto" w:fill="B8CCE4" w:themeFill="accent1" w:themeFillTint="66"/>
            <w:vAlign w:val="center"/>
          </w:tcPr>
          <w:p w14:paraId="5E9C8526" w14:textId="43A45188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</w:rPr>
            </w:pPr>
            <w:r w:rsidRPr="000E5DF6">
              <w:br w:type="page"/>
            </w:r>
            <w:r w:rsidRPr="000E5DF6">
              <w:rPr>
                <w:b/>
                <w:color w:val="000000"/>
              </w:rPr>
              <w:t>Network Service Provider Output Measures – Persons Served</w:t>
            </w:r>
          </w:p>
        </w:tc>
      </w:tr>
      <w:tr w:rsidR="00286E5E" w:rsidRPr="000E5DF6" w14:paraId="68113B95" w14:textId="77777777" w:rsidTr="00866978">
        <w:trPr>
          <w:trHeight w:val="251"/>
          <w:jc w:val="center"/>
        </w:trPr>
        <w:tc>
          <w:tcPr>
            <w:tcW w:w="10165" w:type="dxa"/>
            <w:gridSpan w:val="3"/>
            <w:shd w:val="clear" w:color="auto" w:fill="auto"/>
            <w:vAlign w:val="center"/>
          </w:tcPr>
          <w:p w14:paraId="482B62FA" w14:textId="77777777" w:rsidR="00286E5E" w:rsidRPr="000E5DF6" w:rsidRDefault="00286E5E" w:rsidP="000E5DF6">
            <w:pPr>
              <w:spacing w:before="120" w:after="12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E5DF6">
              <w:rPr>
                <w:b/>
                <w:color w:val="000000"/>
                <w:sz w:val="20"/>
                <w:szCs w:val="20"/>
              </w:rPr>
              <w:t>Annual Persons Served Targets – Unduplicated Individuals Served</w:t>
            </w:r>
          </w:p>
          <w:p w14:paraId="4540F559" w14:textId="2B144065" w:rsidR="00286E5E" w:rsidRPr="000E5DF6" w:rsidRDefault="00286E5E" w:rsidP="00B01D47">
            <w:pPr>
              <w:spacing w:before="120" w:after="120"/>
              <w:contextualSpacing/>
              <w:rPr>
                <w:color w:val="000000"/>
              </w:rPr>
            </w:pPr>
          </w:p>
        </w:tc>
      </w:tr>
      <w:tr w:rsidR="00363F9B" w:rsidRPr="000E5DF6" w14:paraId="3D94EB16" w14:textId="77777777" w:rsidTr="00866978">
        <w:trPr>
          <w:jc w:val="center"/>
        </w:trPr>
        <w:tc>
          <w:tcPr>
            <w:tcW w:w="5575" w:type="dxa"/>
            <w:gridSpan w:val="2"/>
            <w:shd w:val="clear" w:color="auto" w:fill="DBE5F1" w:themeFill="accent1" w:themeFillTint="33"/>
            <w:vAlign w:val="center"/>
            <w:hideMark/>
          </w:tcPr>
          <w:p w14:paraId="7827C4AD" w14:textId="77777777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E5DF6">
              <w:rPr>
                <w:b/>
                <w:color w:val="000000"/>
                <w:sz w:val="20"/>
                <w:szCs w:val="20"/>
              </w:rPr>
              <w:t>Service Category</w:t>
            </w:r>
          </w:p>
        </w:tc>
        <w:tc>
          <w:tcPr>
            <w:tcW w:w="4590" w:type="dxa"/>
            <w:shd w:val="clear" w:color="auto" w:fill="DBE5F1" w:themeFill="accent1" w:themeFillTint="33"/>
            <w:vAlign w:val="center"/>
            <w:hideMark/>
          </w:tcPr>
          <w:p w14:paraId="28B1233A" w14:textId="77777777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E5DF6">
              <w:rPr>
                <w:b/>
                <w:color w:val="000000"/>
                <w:sz w:val="20"/>
                <w:szCs w:val="20"/>
              </w:rPr>
              <w:t>FY Target</w:t>
            </w:r>
          </w:p>
        </w:tc>
      </w:tr>
      <w:tr w:rsidR="00363F9B" w:rsidRPr="000E5DF6" w14:paraId="6E02CCBD" w14:textId="77777777" w:rsidTr="00866978">
        <w:trPr>
          <w:trHeight w:val="70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A1648F7" w14:textId="77777777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E5DF6">
              <w:rPr>
                <w:b/>
                <w:color w:val="000000"/>
                <w:sz w:val="20"/>
                <w:szCs w:val="20"/>
              </w:rPr>
              <w:t>Children's Mental Health</w:t>
            </w:r>
          </w:p>
        </w:tc>
        <w:tc>
          <w:tcPr>
            <w:tcW w:w="4876" w:type="dxa"/>
            <w:shd w:val="clear" w:color="auto" w:fill="auto"/>
            <w:vAlign w:val="center"/>
            <w:hideMark/>
          </w:tcPr>
          <w:p w14:paraId="63F9FD1A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Residential Care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86FB254" w14:textId="345ED5DA" w:rsidR="00286E5E" w:rsidRPr="000E5DF6" w:rsidRDefault="00866978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363F9B" w:rsidRPr="000E5DF6" w14:paraId="41F3E8C9" w14:textId="77777777" w:rsidTr="0086697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75620C" w14:textId="77777777" w:rsidR="00286E5E" w:rsidRPr="000E5DF6" w:rsidRDefault="00286E5E" w:rsidP="00B01D47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  <w:hideMark/>
          </w:tcPr>
          <w:p w14:paraId="3E3F5C12" w14:textId="77777777" w:rsidR="00286E5E" w:rsidRPr="00866978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6978">
              <w:rPr>
                <w:sz w:val="20"/>
                <w:szCs w:val="20"/>
              </w:rPr>
              <w:t>Outpatient Care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74C415F" w14:textId="32796168" w:rsidR="00866978" w:rsidRPr="00866978" w:rsidRDefault="00363F9B" w:rsidP="00F3064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66978">
              <w:rPr>
                <w:b/>
                <w:bCs/>
                <w:color w:val="000000"/>
                <w:sz w:val="20"/>
                <w:szCs w:val="20"/>
              </w:rPr>
              <w:t>Orange</w:t>
            </w:r>
            <w:r w:rsidR="00866978" w:rsidRPr="00866978">
              <w:rPr>
                <w:b/>
                <w:bCs/>
                <w:color w:val="000000"/>
                <w:sz w:val="20"/>
                <w:szCs w:val="20"/>
              </w:rPr>
              <w:t xml:space="preserve"> (two full teams)</w:t>
            </w:r>
            <w:r w:rsidRPr="00866978">
              <w:rPr>
                <w:color w:val="000000"/>
                <w:sz w:val="20"/>
                <w:szCs w:val="20"/>
              </w:rPr>
              <w:t xml:space="preserve"> – 35 children per month/per team</w:t>
            </w:r>
            <w:r w:rsidR="00866978" w:rsidRPr="00866978">
              <w:rPr>
                <w:color w:val="000000"/>
                <w:sz w:val="20"/>
                <w:szCs w:val="20"/>
              </w:rPr>
              <w:t xml:space="preserve"> </w:t>
            </w:r>
          </w:p>
          <w:p w14:paraId="0F31F7F6" w14:textId="77777777" w:rsidR="00866978" w:rsidRPr="00866978" w:rsidRDefault="00363F9B" w:rsidP="00F3064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66978">
              <w:rPr>
                <w:b/>
                <w:bCs/>
                <w:color w:val="000000"/>
                <w:sz w:val="20"/>
                <w:szCs w:val="20"/>
              </w:rPr>
              <w:t>Seminole</w:t>
            </w:r>
            <w:r w:rsidR="00866978" w:rsidRPr="00866978">
              <w:rPr>
                <w:b/>
                <w:bCs/>
                <w:color w:val="000000"/>
                <w:sz w:val="20"/>
                <w:szCs w:val="20"/>
              </w:rPr>
              <w:t xml:space="preserve"> (full team)</w:t>
            </w:r>
            <w:r w:rsidRPr="00866978">
              <w:rPr>
                <w:color w:val="000000"/>
                <w:sz w:val="20"/>
                <w:szCs w:val="20"/>
              </w:rPr>
              <w:t xml:space="preserve"> -</w:t>
            </w:r>
            <w:r w:rsidR="00F30648" w:rsidRPr="00866978">
              <w:rPr>
                <w:color w:val="000000"/>
                <w:sz w:val="20"/>
                <w:szCs w:val="20"/>
              </w:rPr>
              <w:t xml:space="preserve"> 3</w:t>
            </w:r>
            <w:r w:rsidR="005357B6" w:rsidRPr="00866978">
              <w:rPr>
                <w:color w:val="000000"/>
                <w:sz w:val="20"/>
                <w:szCs w:val="20"/>
              </w:rPr>
              <w:t>5 children per mont</w:t>
            </w:r>
            <w:r w:rsidR="00866978" w:rsidRPr="00866978">
              <w:rPr>
                <w:color w:val="000000"/>
                <w:sz w:val="20"/>
                <w:szCs w:val="20"/>
              </w:rPr>
              <w:t>h</w:t>
            </w:r>
            <w:r w:rsidRPr="00866978">
              <w:rPr>
                <w:color w:val="000000"/>
                <w:sz w:val="20"/>
                <w:szCs w:val="20"/>
              </w:rPr>
              <w:t xml:space="preserve"> </w:t>
            </w:r>
          </w:p>
          <w:p w14:paraId="676C7250" w14:textId="0A2D0719" w:rsidR="00866978" w:rsidRPr="00866978" w:rsidRDefault="00866978" w:rsidP="00F3064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66978">
              <w:rPr>
                <w:b/>
                <w:bCs/>
                <w:color w:val="000000"/>
                <w:sz w:val="20"/>
                <w:szCs w:val="20"/>
              </w:rPr>
              <w:t xml:space="preserve">Osceola (full team) </w:t>
            </w:r>
            <w:r w:rsidRPr="00866978">
              <w:rPr>
                <w:color w:val="000000"/>
                <w:sz w:val="20"/>
                <w:szCs w:val="20"/>
              </w:rPr>
              <w:t xml:space="preserve">- </w:t>
            </w:r>
            <w:r w:rsidRPr="00866978">
              <w:rPr>
                <w:color w:val="000000"/>
                <w:sz w:val="20"/>
                <w:szCs w:val="20"/>
              </w:rPr>
              <w:t xml:space="preserve">35 children per month </w:t>
            </w:r>
          </w:p>
          <w:p w14:paraId="12440F50" w14:textId="32439779" w:rsidR="00F30648" w:rsidRPr="00866978" w:rsidRDefault="00866978" w:rsidP="00F3064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66978">
              <w:rPr>
                <w:b/>
                <w:bCs/>
                <w:color w:val="000000"/>
                <w:sz w:val="20"/>
                <w:szCs w:val="20"/>
              </w:rPr>
              <w:t>Seminole and Osceola</w:t>
            </w:r>
            <w:r w:rsidR="00F30648" w:rsidRPr="00866978">
              <w:rPr>
                <w:b/>
                <w:bCs/>
                <w:color w:val="000000"/>
                <w:sz w:val="20"/>
                <w:szCs w:val="20"/>
              </w:rPr>
              <w:t xml:space="preserve"> (expansion),</w:t>
            </w:r>
            <w:r w:rsidR="00F30648" w:rsidRPr="00866978">
              <w:rPr>
                <w:color w:val="000000"/>
                <w:sz w:val="20"/>
                <w:szCs w:val="20"/>
              </w:rPr>
              <w:t xml:space="preserve"> phase in implementation: </w:t>
            </w:r>
          </w:p>
          <w:p w14:paraId="651272EC" w14:textId="15B52434" w:rsidR="00F30648" w:rsidRPr="00866978" w:rsidRDefault="00F30648" w:rsidP="00F3064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66978">
              <w:rPr>
                <w:color w:val="000000"/>
                <w:sz w:val="20"/>
                <w:szCs w:val="20"/>
              </w:rPr>
              <w:t>4 children per month</w:t>
            </w:r>
            <w:r w:rsidR="00866978" w:rsidRPr="00866978">
              <w:rPr>
                <w:color w:val="000000"/>
                <w:sz w:val="20"/>
                <w:szCs w:val="20"/>
              </w:rPr>
              <w:t>/team</w:t>
            </w:r>
            <w:r w:rsidRPr="00866978">
              <w:rPr>
                <w:color w:val="000000"/>
                <w:sz w:val="20"/>
                <w:szCs w:val="20"/>
              </w:rPr>
              <w:t xml:space="preserve"> during the first month of services, </w:t>
            </w:r>
          </w:p>
          <w:p w14:paraId="2FDD2361" w14:textId="3656F56F" w:rsidR="00F30648" w:rsidRPr="00866978" w:rsidRDefault="00F30648" w:rsidP="00F3064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66978">
              <w:rPr>
                <w:color w:val="000000"/>
                <w:sz w:val="20"/>
                <w:szCs w:val="20"/>
              </w:rPr>
              <w:t>7 children per month</w:t>
            </w:r>
            <w:r w:rsidR="00866978" w:rsidRPr="00866978">
              <w:rPr>
                <w:color w:val="000000"/>
                <w:sz w:val="20"/>
                <w:szCs w:val="20"/>
              </w:rPr>
              <w:t>/team</w:t>
            </w:r>
            <w:r w:rsidRPr="00866978">
              <w:rPr>
                <w:color w:val="000000"/>
                <w:sz w:val="20"/>
                <w:szCs w:val="20"/>
              </w:rPr>
              <w:t xml:space="preserve"> during the second month, </w:t>
            </w:r>
          </w:p>
          <w:p w14:paraId="1FBC062B" w14:textId="7567CC71" w:rsidR="00F30648" w:rsidRPr="00866978" w:rsidRDefault="00F30648" w:rsidP="00F3064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66978">
              <w:rPr>
                <w:color w:val="000000"/>
                <w:sz w:val="20"/>
                <w:szCs w:val="20"/>
              </w:rPr>
              <w:t>10 children per month</w:t>
            </w:r>
            <w:r w:rsidR="00866978" w:rsidRPr="00866978">
              <w:rPr>
                <w:color w:val="000000"/>
                <w:sz w:val="20"/>
                <w:szCs w:val="20"/>
              </w:rPr>
              <w:t>/team</w:t>
            </w:r>
            <w:r w:rsidRPr="00866978">
              <w:rPr>
                <w:color w:val="000000"/>
                <w:sz w:val="20"/>
                <w:szCs w:val="20"/>
              </w:rPr>
              <w:t xml:space="preserve"> during the third month and moving forward.</w:t>
            </w:r>
          </w:p>
        </w:tc>
      </w:tr>
    </w:tbl>
    <w:p w14:paraId="79C802D0" w14:textId="77777777" w:rsidR="00B45EFF" w:rsidRPr="000E6DA6" w:rsidRDefault="00B45EFF" w:rsidP="00866978">
      <w:pPr>
        <w:widowControl/>
        <w:jc w:val="both"/>
        <w:rPr>
          <w:b/>
          <w:bCs/>
          <w:color w:val="000000"/>
          <w:sz w:val="22"/>
          <w:szCs w:val="22"/>
        </w:rPr>
      </w:pPr>
    </w:p>
    <w:p w14:paraId="12A28894" w14:textId="06210388" w:rsidR="00B45EFF" w:rsidRPr="000E6DA6" w:rsidRDefault="00B45EFF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3ABAB5A4" w14:textId="77777777" w:rsidR="005B7599" w:rsidRDefault="005B7599" w:rsidP="005B7599">
      <w:pPr>
        <w:widowControl/>
        <w:jc w:val="both"/>
        <w:rPr>
          <w:color w:val="000000"/>
          <w:sz w:val="22"/>
          <w:szCs w:val="22"/>
        </w:rPr>
      </w:pPr>
    </w:p>
    <w:p w14:paraId="3E2C4A2D" w14:textId="42D669CE" w:rsidR="00B45EFF" w:rsidRPr="000E6DA6" w:rsidRDefault="00B45EFF" w:rsidP="005B7599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</w:t>
      </w:r>
      <w:r w:rsidR="0025492E" w:rsidRPr="000E6DA6">
        <w:rPr>
          <w:color w:val="000000"/>
          <w:sz w:val="22"/>
          <w:szCs w:val="22"/>
        </w:rPr>
        <w:t>S</w:t>
      </w:r>
      <w:r w:rsidR="00B62A83" w:rsidRPr="000E6DA6">
        <w:rPr>
          <w:color w:val="000000"/>
          <w:sz w:val="22"/>
          <w:szCs w:val="22"/>
        </w:rPr>
        <w:t>ubcontractor</w:t>
      </w:r>
      <w:r w:rsidRPr="000E6DA6">
        <w:rPr>
          <w:color w:val="000000"/>
          <w:sz w:val="22"/>
          <w:szCs w:val="22"/>
        </w:rPr>
        <w:t xml:space="preserve">.  </w:t>
      </w:r>
    </w:p>
    <w:p w14:paraId="44267518" w14:textId="77777777" w:rsidR="00B45EFF" w:rsidRPr="000E6DA6" w:rsidRDefault="00B45EFF" w:rsidP="00385B88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62DC48A2" w14:textId="4C92B827" w:rsidR="00280D96" w:rsidRPr="00866978" w:rsidRDefault="00280D96" w:rsidP="0086697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7D0952DF" w14:textId="5EFCA9D5" w:rsidR="000E5DF6" w:rsidRDefault="00280D96" w:rsidP="00866978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Number to be served includes persons whose services will be paid for in whole or in part by CFCHS funding or local match only.  DO NOT include Medicaid funded services.</w:t>
      </w:r>
    </w:p>
    <w:p w14:paraId="5E95AD41" w14:textId="5CC47336" w:rsidR="008D05C5" w:rsidRDefault="008D05C5" w:rsidP="00740DF3">
      <w:pPr>
        <w:widowControl/>
        <w:rPr>
          <w:sz w:val="22"/>
          <w:szCs w:val="22"/>
        </w:rPr>
      </w:pPr>
    </w:p>
    <w:tbl>
      <w:tblPr>
        <w:tblW w:w="98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8061"/>
        <w:gridCol w:w="1393"/>
      </w:tblGrid>
      <w:tr w:rsidR="00E53D42" w:rsidRPr="00467A27" w14:paraId="1DD73B4C" w14:textId="77777777" w:rsidTr="002347BD">
        <w:trPr>
          <w:trHeight w:val="359"/>
        </w:trPr>
        <w:tc>
          <w:tcPr>
            <w:tcW w:w="5000" w:type="pct"/>
            <w:gridSpan w:val="3"/>
            <w:shd w:val="clear" w:color="auto" w:fill="B8CCE4"/>
          </w:tcPr>
          <w:p w14:paraId="5FB42AB5" w14:textId="7F65FBBC" w:rsidR="00E53D42" w:rsidRPr="00467A27" w:rsidRDefault="00E53D42" w:rsidP="002347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Action Team (CAT – DCF Guidance 32)</w:t>
            </w:r>
          </w:p>
        </w:tc>
      </w:tr>
      <w:tr w:rsidR="00E53D42" w:rsidRPr="00467A27" w14:paraId="7A82C050" w14:textId="77777777" w:rsidTr="002347BD">
        <w:trPr>
          <w:trHeight w:val="350"/>
        </w:trPr>
        <w:tc>
          <w:tcPr>
            <w:tcW w:w="209" w:type="pct"/>
            <w:shd w:val="clear" w:color="auto" w:fill="auto"/>
            <w:hideMark/>
          </w:tcPr>
          <w:p w14:paraId="650A8868" w14:textId="77777777" w:rsidR="00E53D42" w:rsidRPr="00467A27" w:rsidRDefault="00E53D42" w:rsidP="002347BD">
            <w:pPr>
              <w:rPr>
                <w:b/>
                <w:sz w:val="22"/>
                <w:szCs w:val="22"/>
              </w:rPr>
            </w:pPr>
            <w:r w:rsidRPr="00467A27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085" w:type="pct"/>
            <w:shd w:val="clear" w:color="auto" w:fill="auto"/>
            <w:hideMark/>
          </w:tcPr>
          <w:p w14:paraId="601FE7A7" w14:textId="7ECD98F4" w:rsidR="00E53D42" w:rsidRPr="00467A27" w:rsidRDefault="00E53D42" w:rsidP="002347B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% </w:t>
            </w:r>
            <w:proofErr w:type="gramStart"/>
            <w:r w:rsidR="005C3DAA">
              <w:rPr>
                <w:color w:val="000000"/>
                <w:sz w:val="22"/>
                <w:szCs w:val="22"/>
              </w:rPr>
              <w:t>of</w:t>
            </w:r>
            <w:proofErr w:type="gramEnd"/>
            <w:r w:rsidR="005C3DAA">
              <w:rPr>
                <w:color w:val="000000"/>
                <w:sz w:val="22"/>
                <w:szCs w:val="22"/>
              </w:rPr>
              <w:t xml:space="preserve"> schools days </w:t>
            </w:r>
            <w:r>
              <w:rPr>
                <w:color w:val="000000"/>
                <w:sz w:val="22"/>
                <w:szCs w:val="22"/>
              </w:rPr>
              <w:t xml:space="preserve">individuals receiving services </w:t>
            </w:r>
            <w:r w:rsidR="005C3DAA">
              <w:rPr>
                <w:color w:val="000000"/>
                <w:sz w:val="22"/>
                <w:szCs w:val="22"/>
              </w:rPr>
              <w:t>attended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306E4C2" w14:textId="39B6E87A" w:rsidR="00E53D42" w:rsidRPr="00467A27" w:rsidRDefault="005C3DAA" w:rsidP="0023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E53D42" w:rsidRPr="00467A27" w14:paraId="67A0BB9B" w14:textId="77777777" w:rsidTr="002347BD">
        <w:trPr>
          <w:trHeight w:val="278"/>
        </w:trPr>
        <w:tc>
          <w:tcPr>
            <w:tcW w:w="209" w:type="pct"/>
            <w:shd w:val="clear" w:color="auto" w:fill="auto"/>
            <w:hideMark/>
          </w:tcPr>
          <w:p w14:paraId="0518B51A" w14:textId="77777777" w:rsidR="00E53D42" w:rsidRPr="00467A27" w:rsidRDefault="00E53D42" w:rsidP="002347BD">
            <w:pPr>
              <w:rPr>
                <w:b/>
                <w:sz w:val="22"/>
                <w:szCs w:val="22"/>
              </w:rPr>
            </w:pPr>
            <w:r w:rsidRPr="00467A27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085" w:type="pct"/>
            <w:shd w:val="clear" w:color="auto" w:fill="auto"/>
            <w:hideMark/>
          </w:tcPr>
          <w:p w14:paraId="1FE859A0" w14:textId="2CB8F724" w:rsidR="00E53D42" w:rsidRPr="005C3DAA" w:rsidRDefault="005C3DAA" w:rsidP="002347BD">
            <w:pPr>
              <w:rPr>
                <w:color w:val="000000"/>
                <w:sz w:val="22"/>
                <w:szCs w:val="22"/>
              </w:rPr>
            </w:pPr>
            <w:r w:rsidRPr="005C3DAA">
              <w:rPr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C3DAA">
              <w:rPr>
                <w:color w:val="000000"/>
                <w:sz w:val="22"/>
                <w:szCs w:val="22"/>
              </w:rPr>
              <w:t>of</w:t>
            </w:r>
            <w:proofErr w:type="gramEnd"/>
            <w:r w:rsidRPr="005C3DAA">
              <w:rPr>
                <w:color w:val="000000"/>
                <w:sz w:val="22"/>
                <w:szCs w:val="22"/>
              </w:rPr>
              <w:t xml:space="preserve"> individuals receiving services shall improve their level of functioning between admission to discharge, as determined by the CFARS or FARS (effective once provider discharges minimum of 10 individuals each FY)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FC304ED" w14:textId="1BBFBDD9" w:rsidR="00E53D42" w:rsidRPr="005C3DAA" w:rsidRDefault="005C3DAA" w:rsidP="002347BD">
            <w:pPr>
              <w:rPr>
                <w:color w:val="000000"/>
                <w:sz w:val="22"/>
                <w:szCs w:val="22"/>
              </w:rPr>
            </w:pPr>
            <w:r w:rsidRPr="005C3DAA">
              <w:rPr>
                <w:color w:val="000000"/>
                <w:sz w:val="22"/>
                <w:szCs w:val="22"/>
              </w:rPr>
              <w:t>80%</w:t>
            </w:r>
          </w:p>
        </w:tc>
      </w:tr>
      <w:tr w:rsidR="00E53D42" w:rsidRPr="00467A27" w14:paraId="6DDC8FAC" w14:textId="77777777" w:rsidTr="002347BD">
        <w:trPr>
          <w:trHeight w:val="278"/>
        </w:trPr>
        <w:tc>
          <w:tcPr>
            <w:tcW w:w="209" w:type="pct"/>
            <w:shd w:val="clear" w:color="auto" w:fill="auto"/>
          </w:tcPr>
          <w:p w14:paraId="1C4A1C67" w14:textId="77777777" w:rsidR="00E53D42" w:rsidRPr="00467A27" w:rsidRDefault="00E53D42" w:rsidP="002347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4085" w:type="pct"/>
            <w:shd w:val="clear" w:color="auto" w:fill="auto"/>
          </w:tcPr>
          <w:p w14:paraId="62304EE4" w14:textId="2AEA39BC" w:rsidR="00E53D42" w:rsidRPr="005C3DAA" w:rsidRDefault="005C3DAA" w:rsidP="002347BD">
            <w:pPr>
              <w:rPr>
                <w:color w:val="000000"/>
                <w:sz w:val="22"/>
                <w:szCs w:val="22"/>
              </w:rPr>
            </w:pPr>
            <w:r w:rsidRPr="005C3DAA">
              <w:rPr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5C3DAA">
              <w:rPr>
                <w:color w:val="000000"/>
                <w:sz w:val="22"/>
                <w:szCs w:val="22"/>
              </w:rPr>
              <w:t>days</w:t>
            </w:r>
            <w:proofErr w:type="gramEnd"/>
            <w:r w:rsidRPr="005C3DAA">
              <w:rPr>
                <w:color w:val="000000"/>
                <w:sz w:val="22"/>
                <w:szCs w:val="22"/>
              </w:rPr>
              <w:t xml:space="preserve"> of individuals receiving services living in a community setting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24F78DC" w14:textId="4E8F18AA" w:rsidR="00E53D42" w:rsidRPr="005C3DAA" w:rsidRDefault="005C3DAA" w:rsidP="002347BD">
            <w:pPr>
              <w:rPr>
                <w:color w:val="000000"/>
                <w:sz w:val="22"/>
                <w:szCs w:val="22"/>
              </w:rPr>
            </w:pPr>
            <w:r w:rsidRPr="005C3DAA">
              <w:rPr>
                <w:color w:val="000000"/>
                <w:sz w:val="22"/>
                <w:szCs w:val="22"/>
              </w:rPr>
              <w:t>90%</w:t>
            </w:r>
          </w:p>
        </w:tc>
      </w:tr>
      <w:tr w:rsidR="00E53D42" w:rsidRPr="00467A27" w14:paraId="6D3086B3" w14:textId="77777777" w:rsidTr="002347BD">
        <w:trPr>
          <w:trHeight w:val="278"/>
        </w:trPr>
        <w:tc>
          <w:tcPr>
            <w:tcW w:w="209" w:type="pct"/>
            <w:shd w:val="clear" w:color="auto" w:fill="auto"/>
          </w:tcPr>
          <w:p w14:paraId="4180AE26" w14:textId="77777777" w:rsidR="00E53D42" w:rsidRDefault="00E53D42" w:rsidP="002347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4085" w:type="pct"/>
            <w:shd w:val="clear" w:color="auto" w:fill="auto"/>
          </w:tcPr>
          <w:p w14:paraId="00A5BA9B" w14:textId="1331942C" w:rsidR="00E53D42" w:rsidRPr="00721C3B" w:rsidRDefault="005C3DAA" w:rsidP="002347BD">
            <w:pPr>
              <w:rPr>
                <w:color w:val="000000"/>
                <w:sz w:val="22"/>
                <w:szCs w:val="22"/>
              </w:rPr>
            </w:pPr>
            <w:r w:rsidRPr="00721C3B">
              <w:rPr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721C3B">
              <w:rPr>
                <w:color w:val="000000"/>
                <w:sz w:val="22"/>
                <w:szCs w:val="22"/>
              </w:rPr>
              <w:t>of</w:t>
            </w:r>
            <w:proofErr w:type="gramEnd"/>
            <w:r w:rsidRPr="00721C3B">
              <w:rPr>
                <w:color w:val="000000"/>
                <w:sz w:val="22"/>
                <w:szCs w:val="22"/>
              </w:rPr>
              <w:t xml:space="preserve"> individuals and families receiving services shall demonst</w:t>
            </w:r>
            <w:r w:rsidR="00721C3B" w:rsidRPr="00721C3B">
              <w:rPr>
                <w:color w:val="000000"/>
                <w:sz w:val="22"/>
                <w:szCs w:val="22"/>
              </w:rPr>
              <w:t>rate improved family functioning demonstrated in the Child Well-Being domain as determined by the North Carolina Family Assessment Rating Scale for General Service and Reunification (NCFAS-G + R)</w:t>
            </w:r>
            <w:r w:rsidR="00721C3B">
              <w:rPr>
                <w:color w:val="000000"/>
                <w:sz w:val="22"/>
                <w:szCs w:val="22"/>
              </w:rPr>
              <w:t xml:space="preserve">, applicable only to </w:t>
            </w:r>
            <w:r w:rsidR="00721C3B" w:rsidRPr="00721C3B">
              <w:rPr>
                <w:color w:val="000000"/>
                <w:sz w:val="22"/>
                <w:szCs w:val="22"/>
              </w:rPr>
              <w:t>individuals under 18 years of age.</w:t>
            </w:r>
            <w:r w:rsidR="00833AF7">
              <w:rPr>
                <w:color w:val="000000"/>
                <w:sz w:val="22"/>
                <w:szCs w:val="22"/>
              </w:rPr>
              <w:t xml:space="preserve"> </w:t>
            </w:r>
            <w:r w:rsidR="00833AF7" w:rsidRPr="005C3DAA">
              <w:rPr>
                <w:color w:val="000000"/>
                <w:sz w:val="22"/>
                <w:szCs w:val="22"/>
              </w:rPr>
              <w:t>(</w:t>
            </w:r>
            <w:proofErr w:type="gramStart"/>
            <w:r w:rsidR="00833AF7" w:rsidRPr="005C3DAA">
              <w:rPr>
                <w:color w:val="000000"/>
                <w:sz w:val="22"/>
                <w:szCs w:val="22"/>
              </w:rPr>
              <w:t>effective</w:t>
            </w:r>
            <w:proofErr w:type="gramEnd"/>
            <w:r w:rsidR="00833AF7" w:rsidRPr="005C3DAA">
              <w:rPr>
                <w:color w:val="000000"/>
                <w:sz w:val="22"/>
                <w:szCs w:val="22"/>
              </w:rPr>
              <w:t xml:space="preserve"> once provider discharges minimum of 10 individuals each FY)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0F474C4" w14:textId="594A29CA" w:rsidR="00E53D42" w:rsidRPr="00721C3B" w:rsidRDefault="00833AF7" w:rsidP="002347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721C3B" w:rsidRPr="00721C3B">
              <w:rPr>
                <w:color w:val="000000"/>
                <w:sz w:val="22"/>
                <w:szCs w:val="22"/>
              </w:rPr>
              <w:t>%</w:t>
            </w:r>
          </w:p>
        </w:tc>
      </w:tr>
    </w:tbl>
    <w:p w14:paraId="6619473C" w14:textId="77777777" w:rsidR="00CB3721" w:rsidRDefault="00CB3721" w:rsidP="00866978">
      <w:pPr>
        <w:widowControl/>
        <w:rPr>
          <w:sz w:val="22"/>
          <w:szCs w:val="22"/>
        </w:rPr>
      </w:pPr>
    </w:p>
    <w:sectPr w:rsidR="00CB3721" w:rsidSect="008669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907" w:bottom="864" w:left="1440" w:header="720" w:footer="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0970" w14:textId="77777777" w:rsidR="00796921" w:rsidRDefault="00796921">
      <w:r>
        <w:separator/>
      </w:r>
    </w:p>
  </w:endnote>
  <w:endnote w:type="continuationSeparator" w:id="0">
    <w:p w14:paraId="3BD85609" w14:textId="77777777" w:rsidR="00796921" w:rsidRDefault="00796921">
      <w:r>
        <w:continuationSeparator/>
      </w:r>
    </w:p>
  </w:endnote>
  <w:endnote w:type="continuationNotice" w:id="1">
    <w:p w14:paraId="66CC4BDF" w14:textId="77777777" w:rsidR="00796921" w:rsidRDefault="00796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A797" w14:textId="77777777" w:rsidR="00363F9B" w:rsidRDefault="00363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812" w:rsidRPr="00E50812" w14:paraId="2256413F" w14:textId="77777777" w:rsidTr="000F0848">
      <w:tc>
        <w:tcPr>
          <w:tcW w:w="3192" w:type="dxa"/>
        </w:tcPr>
        <w:p w14:paraId="2F360547" w14:textId="0BB72532" w:rsidR="00E50812" w:rsidRPr="00E50812" w:rsidRDefault="00E50812" w:rsidP="009F744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 w:rsidR="00F44182">
            <w:rPr>
              <w:rFonts w:ascii="Times New Roman" w:hAnsi="Times New Roman" w:cs="Times New Roman"/>
              <w:sz w:val="20"/>
              <w:szCs w:val="20"/>
            </w:rPr>
            <w:t>1/13/2023</w:t>
          </w:r>
        </w:p>
      </w:tc>
      <w:tc>
        <w:tcPr>
          <w:tcW w:w="3192" w:type="dxa"/>
        </w:tcPr>
        <w:p w14:paraId="46753528" w14:textId="692400A6" w:rsidR="00E50812" w:rsidRPr="00A10AC1" w:rsidRDefault="00E50812" w:rsidP="00476F8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744A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19851A7F" w14:textId="42C03709" w:rsidR="00E50812" w:rsidRPr="00E50812" w:rsidRDefault="00363F9B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Aspire Health Partners, Inc.</w:t>
          </w:r>
        </w:p>
      </w:tc>
    </w:tr>
    <w:tr w:rsidR="00E50812" w:rsidRPr="00E50812" w14:paraId="57C6218D" w14:textId="77777777" w:rsidTr="000F0848">
      <w:tc>
        <w:tcPr>
          <w:tcW w:w="3192" w:type="dxa"/>
        </w:tcPr>
        <w:p w14:paraId="6211CFD2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7135572C" w:rsidR="00E50812" w:rsidRPr="00E50812" w:rsidRDefault="007A394D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Contract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#</w:t>
          </w:r>
          <w:r w:rsidR="00E50812"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363F9B">
            <w:rPr>
              <w:rFonts w:ascii="Times New Roman" w:hAnsi="Times New Roman" w:cs="Times New Roman"/>
              <w:sz w:val="20"/>
              <w:szCs w:val="20"/>
            </w:rPr>
            <w:t xml:space="preserve">ACT23 Amendment </w:t>
          </w:r>
          <w:r w:rsidR="003A2EBE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76FC" w14:textId="77777777" w:rsidR="00363F9B" w:rsidRDefault="00363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7BD7" w14:textId="77777777" w:rsidR="00796921" w:rsidRDefault="00796921">
      <w:r>
        <w:separator/>
      </w:r>
    </w:p>
  </w:footnote>
  <w:footnote w:type="continuationSeparator" w:id="0">
    <w:p w14:paraId="2515D393" w14:textId="77777777" w:rsidR="00796921" w:rsidRDefault="00796921">
      <w:r>
        <w:continuationSeparator/>
      </w:r>
    </w:p>
  </w:footnote>
  <w:footnote w:type="continuationNotice" w:id="1">
    <w:p w14:paraId="4A8D75A7" w14:textId="77777777" w:rsidR="00796921" w:rsidRDefault="00796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99D3" w14:textId="77777777" w:rsidR="00363F9B" w:rsidRDefault="00363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38D9" w14:textId="77777777" w:rsidR="00363F9B" w:rsidRDefault="00363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F909E5"/>
    <w:multiLevelType w:val="hybridMultilevel"/>
    <w:tmpl w:val="307A2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895700">
    <w:abstractNumId w:val="4"/>
  </w:num>
  <w:num w:numId="2" w16cid:durableId="1624573720">
    <w:abstractNumId w:val="0"/>
  </w:num>
  <w:num w:numId="3" w16cid:durableId="576938433">
    <w:abstractNumId w:val="1"/>
  </w:num>
  <w:num w:numId="4" w16cid:durableId="1712076174">
    <w:abstractNumId w:val="5"/>
  </w:num>
  <w:num w:numId="5" w16cid:durableId="1957566431">
    <w:abstractNumId w:val="3"/>
  </w:num>
  <w:num w:numId="6" w16cid:durableId="1952778019">
    <w:abstractNumId w:val="2"/>
  </w:num>
  <w:num w:numId="7" w16cid:durableId="1208490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9483C"/>
    <w:rsid w:val="000B16D5"/>
    <w:rsid w:val="000D5053"/>
    <w:rsid w:val="000E5DF6"/>
    <w:rsid w:val="000E6DA6"/>
    <w:rsid w:val="00111686"/>
    <w:rsid w:val="00127B22"/>
    <w:rsid w:val="001349AC"/>
    <w:rsid w:val="00153F6A"/>
    <w:rsid w:val="00157B15"/>
    <w:rsid w:val="00164045"/>
    <w:rsid w:val="00175C5F"/>
    <w:rsid w:val="001A380B"/>
    <w:rsid w:val="001C2735"/>
    <w:rsid w:val="001F6E66"/>
    <w:rsid w:val="002011E4"/>
    <w:rsid w:val="00216A73"/>
    <w:rsid w:val="00217FF7"/>
    <w:rsid w:val="002359A2"/>
    <w:rsid w:val="00245D9E"/>
    <w:rsid w:val="0025492E"/>
    <w:rsid w:val="00280D96"/>
    <w:rsid w:val="00286E5E"/>
    <w:rsid w:val="002A1BEE"/>
    <w:rsid w:val="002A533D"/>
    <w:rsid w:val="002A687A"/>
    <w:rsid w:val="002A6CEA"/>
    <w:rsid w:val="002A7F6C"/>
    <w:rsid w:val="002B1C12"/>
    <w:rsid w:val="002D1237"/>
    <w:rsid w:val="002D77A6"/>
    <w:rsid w:val="002E26D6"/>
    <w:rsid w:val="00311473"/>
    <w:rsid w:val="00312399"/>
    <w:rsid w:val="00321374"/>
    <w:rsid w:val="003238A3"/>
    <w:rsid w:val="003271E3"/>
    <w:rsid w:val="003371EF"/>
    <w:rsid w:val="00346134"/>
    <w:rsid w:val="00354EE5"/>
    <w:rsid w:val="00363F9B"/>
    <w:rsid w:val="003728E7"/>
    <w:rsid w:val="00372D2C"/>
    <w:rsid w:val="00380738"/>
    <w:rsid w:val="003833C7"/>
    <w:rsid w:val="00385B88"/>
    <w:rsid w:val="003A2EBE"/>
    <w:rsid w:val="003A5B9D"/>
    <w:rsid w:val="003B4CE1"/>
    <w:rsid w:val="003B6817"/>
    <w:rsid w:val="003B7DCD"/>
    <w:rsid w:val="003C6B8F"/>
    <w:rsid w:val="003E0DE5"/>
    <w:rsid w:val="003E2FC7"/>
    <w:rsid w:val="003E60A5"/>
    <w:rsid w:val="003F2D91"/>
    <w:rsid w:val="003F7D71"/>
    <w:rsid w:val="00432F7E"/>
    <w:rsid w:val="004403FC"/>
    <w:rsid w:val="0045180B"/>
    <w:rsid w:val="004632FA"/>
    <w:rsid w:val="00476F88"/>
    <w:rsid w:val="00497533"/>
    <w:rsid w:val="004A769A"/>
    <w:rsid w:val="004D2213"/>
    <w:rsid w:val="004D4727"/>
    <w:rsid w:val="004D4D0F"/>
    <w:rsid w:val="004F20C4"/>
    <w:rsid w:val="0050283E"/>
    <w:rsid w:val="0052311B"/>
    <w:rsid w:val="005252D0"/>
    <w:rsid w:val="005357B6"/>
    <w:rsid w:val="00536B98"/>
    <w:rsid w:val="00537FFA"/>
    <w:rsid w:val="00547417"/>
    <w:rsid w:val="00550512"/>
    <w:rsid w:val="005538D6"/>
    <w:rsid w:val="0056277E"/>
    <w:rsid w:val="0056796A"/>
    <w:rsid w:val="00582B2D"/>
    <w:rsid w:val="00590F57"/>
    <w:rsid w:val="005B1962"/>
    <w:rsid w:val="005B30B2"/>
    <w:rsid w:val="005B3CB1"/>
    <w:rsid w:val="005B7599"/>
    <w:rsid w:val="005C3DAA"/>
    <w:rsid w:val="005C660D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6C6AD3"/>
    <w:rsid w:val="00721C3B"/>
    <w:rsid w:val="007256EB"/>
    <w:rsid w:val="007357E8"/>
    <w:rsid w:val="00740DF3"/>
    <w:rsid w:val="0077413F"/>
    <w:rsid w:val="00785DD3"/>
    <w:rsid w:val="00786D05"/>
    <w:rsid w:val="00796921"/>
    <w:rsid w:val="00797E0E"/>
    <w:rsid w:val="007A11C7"/>
    <w:rsid w:val="007A394D"/>
    <w:rsid w:val="007A47A7"/>
    <w:rsid w:val="007C4091"/>
    <w:rsid w:val="007E5654"/>
    <w:rsid w:val="007F2470"/>
    <w:rsid w:val="00801881"/>
    <w:rsid w:val="008037E7"/>
    <w:rsid w:val="00805A63"/>
    <w:rsid w:val="00815F39"/>
    <w:rsid w:val="00832C35"/>
    <w:rsid w:val="00833AF7"/>
    <w:rsid w:val="00834B74"/>
    <w:rsid w:val="00834EBE"/>
    <w:rsid w:val="008352BE"/>
    <w:rsid w:val="00851DE8"/>
    <w:rsid w:val="00852BF5"/>
    <w:rsid w:val="00866978"/>
    <w:rsid w:val="00875A0C"/>
    <w:rsid w:val="00880C59"/>
    <w:rsid w:val="008866E9"/>
    <w:rsid w:val="008B65D3"/>
    <w:rsid w:val="008B6DEF"/>
    <w:rsid w:val="008D05C5"/>
    <w:rsid w:val="008E46FF"/>
    <w:rsid w:val="008E7103"/>
    <w:rsid w:val="008F6057"/>
    <w:rsid w:val="008F795F"/>
    <w:rsid w:val="008F79DF"/>
    <w:rsid w:val="00904916"/>
    <w:rsid w:val="009065D9"/>
    <w:rsid w:val="009123BA"/>
    <w:rsid w:val="00947FCD"/>
    <w:rsid w:val="009515CA"/>
    <w:rsid w:val="00952388"/>
    <w:rsid w:val="00960818"/>
    <w:rsid w:val="0098133E"/>
    <w:rsid w:val="00981E17"/>
    <w:rsid w:val="009A0AC0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477AB"/>
    <w:rsid w:val="00B53F4B"/>
    <w:rsid w:val="00B54242"/>
    <w:rsid w:val="00B62A83"/>
    <w:rsid w:val="00B76499"/>
    <w:rsid w:val="00B851AB"/>
    <w:rsid w:val="00B93DA5"/>
    <w:rsid w:val="00B93E91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27DD"/>
    <w:rsid w:val="00C55BE2"/>
    <w:rsid w:val="00C632D0"/>
    <w:rsid w:val="00C63319"/>
    <w:rsid w:val="00C75374"/>
    <w:rsid w:val="00C7558C"/>
    <w:rsid w:val="00C8697C"/>
    <w:rsid w:val="00C86EF9"/>
    <w:rsid w:val="00C86F10"/>
    <w:rsid w:val="00CB351D"/>
    <w:rsid w:val="00CB3721"/>
    <w:rsid w:val="00CB5154"/>
    <w:rsid w:val="00CC2F96"/>
    <w:rsid w:val="00CC47BB"/>
    <w:rsid w:val="00CC4F70"/>
    <w:rsid w:val="00CE0EDB"/>
    <w:rsid w:val="00CE45DE"/>
    <w:rsid w:val="00D1292C"/>
    <w:rsid w:val="00D57014"/>
    <w:rsid w:val="00D60163"/>
    <w:rsid w:val="00D713E1"/>
    <w:rsid w:val="00D727AA"/>
    <w:rsid w:val="00D977CF"/>
    <w:rsid w:val="00DC1D31"/>
    <w:rsid w:val="00DD1556"/>
    <w:rsid w:val="00DE0151"/>
    <w:rsid w:val="00DE4CCD"/>
    <w:rsid w:val="00DF36BD"/>
    <w:rsid w:val="00E00472"/>
    <w:rsid w:val="00E11398"/>
    <w:rsid w:val="00E427D4"/>
    <w:rsid w:val="00E50812"/>
    <w:rsid w:val="00E53D42"/>
    <w:rsid w:val="00E575AC"/>
    <w:rsid w:val="00E65751"/>
    <w:rsid w:val="00E84907"/>
    <w:rsid w:val="00E94BA2"/>
    <w:rsid w:val="00ED77D6"/>
    <w:rsid w:val="00EE7F82"/>
    <w:rsid w:val="00EF4FA0"/>
    <w:rsid w:val="00EF5392"/>
    <w:rsid w:val="00F30648"/>
    <w:rsid w:val="00F342A8"/>
    <w:rsid w:val="00F37E6D"/>
    <w:rsid w:val="00F41196"/>
    <w:rsid w:val="00F44182"/>
    <w:rsid w:val="00F76CAE"/>
    <w:rsid w:val="00FA01DB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5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  <w:style w:type="table" w:customStyle="1" w:styleId="Style1">
    <w:name w:val="Style1"/>
    <w:basedOn w:val="TableWeb2"/>
    <w:uiPriority w:val="99"/>
    <w:rsid w:val="00CB372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B3721"/>
    <w:pPr>
      <w:widowControl w:val="0"/>
      <w:autoSpaceDE w:val="0"/>
      <w:autoSpaceDN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E0ED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1C787B3F1C429BB459F26685C78E" ma:contentTypeVersion="11" ma:contentTypeDescription="Create a new document." ma:contentTypeScope="" ma:versionID="d7e9accccf7db0a5bb5de45861bd4ce4">
  <xsd:schema xmlns:xsd="http://www.w3.org/2001/XMLSchema" xmlns:xs="http://www.w3.org/2001/XMLSchema" xmlns:p="http://schemas.microsoft.com/office/2006/metadata/properties" xmlns:ns2="fe17dac3-f66a-4064-96d9-6e11a38baa64" xmlns:ns3="41d2d1ec-c5b9-49bb-b4d6-9999f845f7de" targetNamespace="http://schemas.microsoft.com/office/2006/metadata/properties" ma:root="true" ma:fieldsID="81f1d38f432ed448d78d7341d7ad9e2b" ns2:_="" ns3:_="">
    <xsd:import namespace="fe17dac3-f66a-4064-96d9-6e11a38baa64"/>
    <xsd:import namespace="41d2d1ec-c5b9-49bb-b4d6-9999f845f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dac3-f66a-4064-96d9-6e11a38ba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cbe6-395a-4b72-8c9b-080aece74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d1ec-c5b9-49bb-b4d6-9999f845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5fe7c31-ae52-4dfd-a973-69dbdee867e5}" ma:internalName="TaxCatchAll" ma:showField="CatchAllData" ma:web="41d2d1ec-c5b9-49bb-b4d6-9999f845f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2d1ec-c5b9-49bb-b4d6-9999f845f7de" xsi:nil="true"/>
    <lcf76f155ced4ddcb4097134ff3c332f xmlns="fe17dac3-f66a-4064-96d9-6e11a38baa6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11AC-483E-43DB-8342-B42E54CDE7E2}"/>
</file>

<file path=customXml/itemProps2.xml><?xml version="1.0" encoding="utf-8"?>
<ds:datastoreItem xmlns:ds="http://schemas.openxmlformats.org/officeDocument/2006/customXml" ds:itemID="{A5BE5DD0-3907-4FF2-B7C6-D02A1B552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22AD6-46A5-4EB7-92DB-CBC850361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755AE-7CF2-41BC-972E-3F9376F8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2125</CharactersWithSpaces>
  <SharedDoc>false</SharedDoc>
  <HLinks>
    <vt:vector size="6" baseType="variant"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http://www.dcf.state.fl.us/programs/samh/ME/2014/IncDocs/Incorporated Document 19 - Performance Outcomes Measurement Manual.docx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2023-01-15T15:05:00Z</dcterms:created>
  <dcterms:modified xsi:type="dcterms:W3CDTF">2023-02-06T16:00:00Z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0x0101008F090166002CA04EA7F087C9287CCA9C</vt:lpwstr>
  </property>
  <property fmtid="{D5CDD505-2E9C-101B-9397-08002B2CF9AE}" pid="3" name="Order">
    <vt:r8>2026000</vt:r8>
  </property>
</Properties>
</file>